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rFonts w:hint="eastAsia"/>
        </w:rPr>
        <w:t xml:space="preserve">※本テンプレートは</w:t>
      </w:r>
      <w:r>
        <w:rPr>
          <w:rFonts w:hint="eastAsia"/>
          <w:b/>
          <w:bCs/>
        </w:rPr>
        <w:t xml:space="preserve">建設業法第19条第1項の15項目必須記載事項</w:t>
      </w:r>
      <w:r>
        <w:rPr>
          <w:rFonts w:hint="eastAsia"/>
        </w:rPr>
        <w:t xml:space="preserve">に対応した工事請負契約書です。新築住宅の場合は</w:t>
      </w:r>
      <w:r>
        <w:rPr>
          <w:rFonts w:hint="eastAsia"/>
          <w:b/>
          <w:bCs/>
        </w:rPr>
        <w:t xml:space="preserve">住宅品確法第94条による10年間の瑕疵担保責任</w:t>
      </w:r>
      <w:r>
        <w:rPr>
          <w:rFonts w:hint="eastAsia"/>
        </w:rPr>
        <w:t xml:space="preserve">が強制されるため、第12条(契約不適合責任)を住宅品確法対応に修正してください。</w:t>
      </w:r>
      <w:r>
        <w:rPr>
          <w:rFonts w:hint="eastAsia"/>
          <w:b/>
          <w:bCs/>
        </w:rPr>
        <w:t xml:space="preserve">建設業法第19条第3項により電磁的方法による契約書面化が認容</w:t>
      </w:r>
      <w:r>
        <w:t xml:space="preserve">されており、</w:t>
      </w:r>
      <w:r>
        <w:rPr>
          <w:rFonts w:hint="eastAsia"/>
          <w:b/>
          <w:bCs/>
        </w:rPr>
        <w:t xml:space="preserve">電子契約での締結時は印紙税も不要</w:t>
      </w:r>
      <w:r>
        <w:t xml:space="preserve">となります。</w:t>
      </w:r>
    </w:p>
    <w:p>
      <w:r>
        <w:pict>
          <v:rect style="width:0;height:1.5pt" o:hralign="center" o:hrstd="t" o:hr="t"/>
        </w:pict>
      </w:r>
    </w:p>
    <w:bookmarkStart w:id="46" w:name="工事請負契約書"/>
    <w:p>
      <w:pPr>
        <w:pStyle w:val="Heading1"/>
      </w:pPr>
      <w:r>
        <w:rPr>
          <w:rFonts w:hint="eastAsia"/>
        </w:rPr>
        <w:t xml:space="preserve">工事請負契約書</w:t>
      </w:r>
    </w:p>
    <w:p>
      <w:pPr>
        <w:pStyle w:val="FirstParagraph"/>
      </w:pPr>
      <w:hyperlink r:id="rId9">
        <w:r>
          <w:rPr>
            <w:rStyle w:val="Hyperlink"/>
            <w:rFonts w:hint="eastAsia"/>
          </w:rPr>
          <w:t xml:space="preserve">甲の正式名称</w:t>
        </w:r>
      </w:hyperlink>
      <w:r>
        <w:t xml:space="preserve">と</w:t>
      </w:r>
      <w:hyperlink r:id="rId10">
        <w:r>
          <w:rPr>
            <w:rStyle w:val="Hyperlink"/>
            <w:rFonts w:hint="eastAsia"/>
          </w:rPr>
          <w:t xml:space="preserve">乙の正式名称</w:t>
        </w:r>
      </w:hyperlink>
      <w:r>
        <w:rPr>
          <w:rFonts w:hint="eastAsia"/>
        </w:rPr>
        <w:t xml:space="preserve">とは、甲が乙に対し下記工事を発注し、乙がこれを請け負うことについて、次のとおり工事請負契約(以下「本契約」という。)を締結する。</w:t>
      </w:r>
    </w:p>
    <w:p>
      <w:r>
        <w:pict>
          <v:rect style="width:0;height:1.5pt" o:hralign="center" o:hrstd="t" o:hr="t"/>
        </w:pict>
      </w:r>
    </w:p>
    <w:bookmarkStart w:id="11" w:name="第1条工事内容"/>
    <w:p>
      <w:pPr>
        <w:pStyle w:val="Heading2"/>
      </w:pPr>
      <w:r>
        <w:rPr>
          <w:rFonts w:hint="eastAsia"/>
        </w:rPr>
        <w:t xml:space="preserve">第1条(工事内容)</w:t>
      </w:r>
    </w:p>
    <w:p>
      <w:pPr>
        <w:pStyle w:val="Compact"/>
        <w:numPr>
          <w:ilvl w:val="0"/>
          <w:numId w:val="1001"/>
        </w:numPr>
      </w:pPr>
      <w:r>
        <w:rPr>
          <w:rFonts w:hint="eastAsia"/>
        </w:rPr>
        <w:t xml:space="preserve">本契約に基づき乙が施工する工事(以下「本工事」という。)の内容は、次のとおりとする(建設業法第19条第1項第1号対応)。</w:t>
      </w:r>
    </w:p>
    <w:p>
      <w:pPr>
        <w:pStyle w:val="Compact"/>
        <w:numPr>
          <w:ilvl w:val="0"/>
          <w:numId w:val="1002"/>
        </w:numPr>
      </w:pPr>
      <w:r>
        <w:rPr>
          <w:rFonts w:hint="eastAsia"/>
        </w:rPr>
        <w:t xml:space="preserve">工事名:[工事の正式名称]</w:t>
      </w:r>
    </w:p>
    <w:p>
      <w:pPr>
        <w:pStyle w:val="Compact"/>
        <w:numPr>
          <w:ilvl w:val="0"/>
          <w:numId w:val="1002"/>
        </w:numPr>
      </w:pPr>
      <w:r>
        <w:rPr>
          <w:rFonts w:hint="eastAsia"/>
        </w:rPr>
        <w:t xml:space="preserve">工事場所:[工事を行う所在地]</w:t>
      </w:r>
    </w:p>
    <w:p>
      <w:pPr>
        <w:pStyle w:val="Compact"/>
        <w:numPr>
          <w:ilvl w:val="0"/>
          <w:numId w:val="1002"/>
        </w:numPr>
      </w:pPr>
      <w:r>
        <w:rPr>
          <w:rFonts w:hint="eastAsia"/>
        </w:rPr>
        <w:t xml:space="preserve">工事の概要:[工事の種類・規模・主要構造等]</w:t>
      </w:r>
    </w:p>
    <w:p>
      <w:pPr>
        <w:pStyle w:val="Compact"/>
        <w:numPr>
          <w:ilvl w:val="0"/>
          <w:numId w:val="1002"/>
        </w:numPr>
      </w:pPr>
      <w:r>
        <w:rPr>
          <w:rFonts w:hint="eastAsia"/>
        </w:rPr>
        <w:t xml:space="preserve">工事内容の詳細:別紙「設計図書」、別紙「仕様書」および別紙「内訳書」のとおり</w:t>
      </w:r>
    </w:p>
    <w:p>
      <w:pPr>
        <w:pStyle w:val="Compact"/>
        <w:numPr>
          <w:ilvl w:val="0"/>
          <w:numId w:val="1003"/>
        </w:numPr>
      </w:pPr>
      <w:r>
        <w:rPr>
          <w:rFonts w:hint="eastAsia"/>
        </w:rPr>
        <w:t xml:space="preserve">工事内容の解釈に疑義が生じた場合、甲乙協議の上、書面または電磁的方法により決定する。</w:t>
      </w:r>
    </w:p>
    <w:bookmarkEnd w:id="11"/>
    <w:bookmarkStart w:id="12" w:name="第2条工期"/>
    <w:p>
      <w:pPr>
        <w:pStyle w:val="Heading2"/>
      </w:pPr>
      <w:r>
        <w:rPr>
          <w:rFonts w:hint="eastAsia"/>
        </w:rPr>
        <w:t xml:space="preserve">第2条(工期)</w:t>
      </w:r>
    </w:p>
    <w:p>
      <w:pPr>
        <w:pStyle w:val="FirstParagraph"/>
      </w:pPr>
      <w:r>
        <w:rPr>
          <w:rFonts w:hint="eastAsia"/>
        </w:rPr>
        <w:t xml:space="preserve">本工事の工期は、次のとおりとする(建設業法第19条第1項第3号対応)。</w:t>
      </w:r>
    </w:p>
    <w:p>
      <w:pPr>
        <w:pStyle w:val="Compact"/>
        <w:numPr>
          <w:ilvl w:val="0"/>
          <w:numId w:val="1004"/>
        </w:numPr>
      </w:pPr>
      <w:r>
        <w:rPr>
          <w:rFonts w:hint="eastAsia"/>
        </w:rPr>
        <w:t xml:space="preserve">着工日:[YYYY年MM月DD日]</w:t>
      </w:r>
    </w:p>
    <w:p>
      <w:pPr>
        <w:pStyle w:val="Compact"/>
        <w:numPr>
          <w:ilvl w:val="0"/>
          <w:numId w:val="1004"/>
        </w:numPr>
      </w:pPr>
      <w:r>
        <w:rPr>
          <w:rFonts w:hint="eastAsia"/>
        </w:rPr>
        <w:t xml:space="preserve">完成予定日:[YYYY年MM月DD日]</w:t>
      </w:r>
    </w:p>
    <w:p>
      <w:pPr>
        <w:pStyle w:val="Compact"/>
        <w:numPr>
          <w:ilvl w:val="0"/>
          <w:numId w:val="1004"/>
        </w:numPr>
      </w:pPr>
      <w:r>
        <w:rPr>
          <w:rFonts w:hint="eastAsia"/>
        </w:rPr>
        <w:t xml:space="preserve">引渡予定日:[YYYY年MM月DD日]</w:t>
      </w:r>
    </w:p>
    <w:bookmarkEnd w:id="12"/>
    <w:bookmarkStart w:id="13" w:name="第3条工事を施工しない日時間帯"/>
    <w:p>
      <w:pPr>
        <w:pStyle w:val="Heading2"/>
      </w:pPr>
      <w:r>
        <w:rPr>
          <w:rFonts w:hint="eastAsia"/>
        </w:rPr>
        <w:t xml:space="preserve">第3条(工事を施工しない日・時間帯)</w:t>
      </w:r>
    </w:p>
    <w:p>
      <w:pPr>
        <w:pStyle w:val="Compact"/>
        <w:numPr>
          <w:ilvl w:val="0"/>
          <w:numId w:val="1005"/>
        </w:numPr>
      </w:pPr>
      <w:r>
        <w:rPr>
          <w:rFonts w:hint="eastAsia"/>
        </w:rPr>
        <w:t xml:space="preserve">乙は、次の各号に掲げる日または時間帯に本工事を施工しない(建設業法第19条第1項第4号対応)。</w:t>
      </w:r>
    </w:p>
    <w:p>
      <w:pPr>
        <w:pStyle w:val="Compact"/>
        <w:numPr>
          <w:ilvl w:val="0"/>
          <w:numId w:val="1006"/>
        </w:numPr>
      </w:pPr>
      <w:r>
        <w:rPr>
          <w:rFonts w:hint="eastAsia"/>
        </w:rPr>
        <w:t xml:space="preserve">毎週日曜日および国民の祝日</w:t>
      </w:r>
    </w:p>
    <w:p>
      <w:pPr>
        <w:pStyle w:val="Compact"/>
        <w:numPr>
          <w:ilvl w:val="0"/>
          <w:numId w:val="1006"/>
        </w:numPr>
      </w:pPr>
      <w:r>
        <w:rPr>
          <w:rFonts w:hint="eastAsia"/>
        </w:rPr>
        <w:t xml:space="preserve">午後[6]時から翌日午前[8]時まで</w:t>
      </w:r>
    </w:p>
    <w:p>
      <w:pPr>
        <w:pStyle w:val="Compact"/>
        <w:numPr>
          <w:ilvl w:val="0"/>
          <w:numId w:val="1006"/>
        </w:numPr>
      </w:pPr>
      <w:r>
        <w:rPr>
          <w:rFonts w:hint="eastAsia"/>
        </w:rPr>
        <w:t xml:space="preserve">近隣との取り決めその他の理由により施工が制限される日・時間帯</w:t>
      </w:r>
    </w:p>
    <w:p>
      <w:pPr>
        <w:pStyle w:val="Compact"/>
        <w:numPr>
          <w:ilvl w:val="0"/>
          <w:numId w:val="1007"/>
        </w:numPr>
      </w:pPr>
      <w:r>
        <w:rPr>
          <w:rFonts w:hint="eastAsia"/>
        </w:rPr>
        <w:t xml:space="preserve">前項の例外として施工する必要が生じた場合、乙は事前に甲に通知し、甲の承諾を得るものとする。</w:t>
      </w:r>
    </w:p>
    <w:bookmarkEnd w:id="13"/>
    <w:bookmarkStart w:id="14" w:name="第4条請負代金"/>
    <w:p>
      <w:pPr>
        <w:pStyle w:val="Heading2"/>
      </w:pPr>
      <w:r>
        <w:rPr>
          <w:rFonts w:hint="eastAsia"/>
        </w:rPr>
        <w:t xml:space="preserve">第4条(請負代金)</w:t>
      </w:r>
    </w:p>
    <w:p>
      <w:pPr>
        <w:pStyle w:val="Compact"/>
        <w:numPr>
          <w:ilvl w:val="0"/>
          <w:numId w:val="1008"/>
        </w:numPr>
      </w:pPr>
      <w:r>
        <w:rPr>
          <w:rFonts w:hint="eastAsia"/>
        </w:rPr>
        <w:t xml:space="preserve">本工事の請負代金は、次のとおりとする(建設業法第19条第1項第2号対応)。</w:t>
      </w:r>
    </w:p>
    <w:p>
      <w:pPr>
        <w:pStyle w:val="Compact"/>
        <w:numPr>
          <w:ilvl w:val="0"/>
          <w:numId w:val="1009"/>
        </w:numPr>
      </w:pPr>
      <w:r>
        <w:rPr>
          <w:rFonts w:hint="eastAsia"/>
        </w:rPr>
        <w:t xml:space="preserve">請負代金額(税抜):金[金額]円</w:t>
      </w:r>
    </w:p>
    <w:p>
      <w:pPr>
        <w:pStyle w:val="Compact"/>
        <w:numPr>
          <w:ilvl w:val="0"/>
          <w:numId w:val="1009"/>
        </w:numPr>
      </w:pPr>
      <w:r>
        <w:rPr>
          <w:rFonts w:hint="eastAsia"/>
        </w:rPr>
        <w:t xml:space="preserve">消費税額および地方消費税額:金[金額]円</w:t>
      </w:r>
    </w:p>
    <w:p>
      <w:pPr>
        <w:pStyle w:val="Compact"/>
        <w:numPr>
          <w:ilvl w:val="0"/>
          <w:numId w:val="1009"/>
        </w:numPr>
      </w:pPr>
      <w:r>
        <w:rPr>
          <w:rFonts w:hint="eastAsia"/>
        </w:rPr>
        <w:t xml:space="preserve">請負代金合計(税込):金[金額]円</w:t>
      </w:r>
    </w:p>
    <w:p>
      <w:pPr>
        <w:pStyle w:val="Compact"/>
        <w:numPr>
          <w:ilvl w:val="0"/>
          <w:numId w:val="1010"/>
        </w:numPr>
      </w:pPr>
      <w:r>
        <w:rPr>
          <w:rFonts w:hint="eastAsia"/>
        </w:rPr>
        <w:t xml:space="preserve">本請負代金の内訳は、別紙「内訳書」のとおりとする。</w:t>
      </w:r>
    </w:p>
    <w:bookmarkEnd w:id="14"/>
    <w:bookmarkStart w:id="15" w:name="第5条請負代金の支払い"/>
    <w:p>
      <w:pPr>
        <w:pStyle w:val="Heading2"/>
      </w:pPr>
      <w:r>
        <w:rPr>
          <w:rFonts w:hint="eastAsia"/>
        </w:rPr>
        <w:t xml:space="preserve">第5条(請負代金の支払い)</w:t>
      </w:r>
    </w:p>
    <w:p>
      <w:pPr>
        <w:pStyle w:val="Compact"/>
        <w:numPr>
          <w:ilvl w:val="0"/>
          <w:numId w:val="1011"/>
        </w:numPr>
      </w:pPr>
      <w:r>
        <w:rPr>
          <w:rFonts w:hint="eastAsia"/>
        </w:rPr>
        <w:t xml:space="preserve">甲は、乙に対し、請負代金を次のとおり支払うものとする(建設業法第19条第1項第5号・第12号対応)。</w:t>
      </w:r>
    </w:p>
    <w:p>
      <w:pPr>
        <w:pStyle w:val="Compact"/>
        <w:numPr>
          <w:ilvl w:val="0"/>
          <w:numId w:val="1012"/>
        </w:numPr>
      </w:pPr>
      <w:r>
        <w:rPr>
          <w:rFonts w:hint="eastAsia"/>
          <w:b/>
          <w:bCs/>
        </w:rPr>
        <w:t xml:space="preserve">前払金</w:t>
      </w:r>
      <w:r>
        <w:rPr>
          <w:rFonts w:hint="eastAsia"/>
        </w:rPr>
        <w:t xml:space="preserve">:本契約締結後[14]日以内に、請負代金の[30]%相当額を支払う。</w:t>
      </w:r>
    </w:p>
    <w:p>
      <w:pPr>
        <w:pStyle w:val="Compact"/>
        <w:numPr>
          <w:ilvl w:val="0"/>
          <w:numId w:val="1012"/>
        </w:numPr>
      </w:pPr>
      <w:r>
        <w:rPr>
          <w:rFonts w:hint="eastAsia"/>
          <w:b/>
          <w:bCs/>
        </w:rPr>
        <w:t xml:space="preserve">中間払金(出来高払い)</w:t>
      </w:r>
      <w:r>
        <w:rPr>
          <w:rFonts w:hint="eastAsia"/>
        </w:rPr>
        <w:t xml:space="preserve">:工事の出来高が[50]%に達し、乙からの請求書を受領した日から[30]日以内に、請負代金の[30]%相当額を支払う。</w:t>
      </w:r>
    </w:p>
    <w:p>
      <w:pPr>
        <w:pStyle w:val="Compact"/>
        <w:numPr>
          <w:ilvl w:val="0"/>
          <w:numId w:val="1012"/>
        </w:numPr>
      </w:pPr>
      <w:r>
        <w:rPr>
          <w:rFonts w:hint="eastAsia"/>
          <w:b/>
          <w:bCs/>
        </w:rPr>
        <w:t xml:space="preserve">完成払金</w:t>
      </w:r>
      <w:r>
        <w:rPr>
          <w:rFonts w:hint="eastAsia"/>
        </w:rPr>
        <w:t xml:space="preserve">:本工事完成・引渡しおよび乙からの請求書を受領した日から[30]日以内に、請負代金残額を支払う。</w:t>
      </w:r>
    </w:p>
    <w:p>
      <w:pPr>
        <w:pStyle w:val="Compact"/>
        <w:numPr>
          <w:ilvl w:val="0"/>
          <w:numId w:val="1013"/>
        </w:numPr>
      </w:pPr>
      <w:r>
        <w:rPr>
          <w:rFonts w:hint="eastAsia"/>
        </w:rPr>
        <w:t xml:space="preserve">支払方法は、乙の指定する銀行口座への振込みとする。振込手数料は甲の負担とする。</w:t>
      </w:r>
    </w:p>
    <w:p>
      <w:pPr>
        <w:pStyle w:val="Compact"/>
        <w:numPr>
          <w:ilvl w:val="0"/>
          <w:numId w:val="1013"/>
        </w:numPr>
      </w:pPr>
      <w:r>
        <w:rPr>
          <w:rFonts w:hint="eastAsia"/>
        </w:rPr>
        <w:t xml:space="preserve">出来高の査定方法は、別紙「出来高査定基準」に定めるところによる。</w:t>
      </w:r>
    </w:p>
    <w:bookmarkEnd w:id="15"/>
    <w:bookmarkStart w:id="16" w:name="第6条検査引渡し"/>
    <w:p>
      <w:pPr>
        <w:pStyle w:val="Heading2"/>
      </w:pPr>
      <w:r>
        <w:rPr>
          <w:rFonts w:hint="eastAsia"/>
        </w:rPr>
        <w:t xml:space="preserve">第6条(検査・引渡し)</w:t>
      </w:r>
    </w:p>
    <w:p>
      <w:pPr>
        <w:pStyle w:val="Compact"/>
        <w:numPr>
          <w:ilvl w:val="0"/>
          <w:numId w:val="1014"/>
        </w:numPr>
      </w:pPr>
      <w:r>
        <w:rPr>
          <w:rFonts w:hint="eastAsia"/>
        </w:rPr>
        <w:t xml:space="preserve">乙は、本工事完成後、速やかに甲に対し完成通知を行うものとする。</w:t>
      </w:r>
    </w:p>
    <w:p>
      <w:pPr>
        <w:pStyle w:val="Compact"/>
        <w:numPr>
          <w:ilvl w:val="0"/>
          <w:numId w:val="1014"/>
        </w:numPr>
      </w:pPr>
      <w:r>
        <w:rPr>
          <w:rFonts w:hint="eastAsia"/>
        </w:rPr>
        <w:t xml:space="preserve">甲は、前項の完成通知を受領した日から[14]日以内に、本工事の検査を行うものとする(建設業法第19条第1項第11号対応)。</w:t>
      </w:r>
    </w:p>
    <w:p>
      <w:pPr>
        <w:pStyle w:val="Compact"/>
        <w:numPr>
          <w:ilvl w:val="0"/>
          <w:numId w:val="1014"/>
        </w:numPr>
      </w:pPr>
      <w:r>
        <w:rPr>
          <w:rFonts w:hint="eastAsia"/>
        </w:rPr>
        <w:t xml:space="preserve">検査の結果、本工事が設計図書・仕様書に適合する場合、甲は乙に対し合格の通知を行い、引渡しを受ける。</w:t>
      </w:r>
    </w:p>
    <w:p>
      <w:pPr>
        <w:pStyle w:val="Compact"/>
        <w:numPr>
          <w:ilvl w:val="0"/>
          <w:numId w:val="1014"/>
        </w:numPr>
      </w:pPr>
      <w:r>
        <w:rPr>
          <w:rFonts w:hint="eastAsia"/>
        </w:rPr>
        <w:t xml:space="preserve">検査の結果、本工事が設計図書・仕様書に適合しない場合、甲は乙に対し、不適合の内容を明示の上、相当の期間を定めて修補を求めることができる。乙は、当該期間内に修補を行い、再度甲の検査を受けるものとする。</w:t>
      </w:r>
    </w:p>
    <w:bookmarkEnd w:id="16"/>
    <w:bookmarkStart w:id="17" w:name="第7条設計変更工期延長"/>
    <w:p>
      <w:pPr>
        <w:pStyle w:val="Heading2"/>
      </w:pPr>
      <w:r>
        <w:rPr>
          <w:rFonts w:hint="eastAsia"/>
        </w:rPr>
        <w:t xml:space="preserve">第7条(設計変更・工期延長)</w:t>
      </w:r>
    </w:p>
    <w:p>
      <w:pPr>
        <w:pStyle w:val="Compact"/>
        <w:numPr>
          <w:ilvl w:val="0"/>
          <w:numId w:val="1015"/>
        </w:numPr>
      </w:pPr>
      <w:r>
        <w:rPr>
          <w:rFonts w:hint="eastAsia"/>
        </w:rPr>
        <w:t xml:space="preserve">甲または乙は、必要に応じて設計変更を申し出ることができる。</w:t>
      </w:r>
    </w:p>
    <w:p>
      <w:pPr>
        <w:pStyle w:val="Compact"/>
        <w:numPr>
          <w:ilvl w:val="0"/>
          <w:numId w:val="1015"/>
        </w:numPr>
      </w:pPr>
      <w:r>
        <w:rPr>
          <w:rFonts w:hint="eastAsia"/>
        </w:rPr>
        <w:t xml:space="preserve">設計変更により次の事項に変更が生じる場合、甲乙協議の上、書面または電磁的方法により合意するものとする(建設業法第19条第1項第6号対応)。</w:t>
      </w:r>
    </w:p>
    <w:p>
      <w:pPr>
        <w:pStyle w:val="Compact"/>
        <w:numPr>
          <w:ilvl w:val="0"/>
          <w:numId w:val="1016"/>
        </w:numPr>
      </w:pPr>
      <w:r>
        <w:rPr>
          <w:rFonts w:hint="eastAsia"/>
        </w:rPr>
        <w:t xml:space="preserve">工事内容の変更</w:t>
      </w:r>
    </w:p>
    <w:p>
      <w:pPr>
        <w:pStyle w:val="Compact"/>
        <w:numPr>
          <w:ilvl w:val="0"/>
          <w:numId w:val="1016"/>
        </w:numPr>
      </w:pPr>
      <w:r>
        <w:rPr>
          <w:rFonts w:hint="eastAsia"/>
        </w:rPr>
        <w:t xml:space="preserve">工期の変更</w:t>
      </w:r>
    </w:p>
    <w:p>
      <w:pPr>
        <w:pStyle w:val="Compact"/>
        <w:numPr>
          <w:ilvl w:val="0"/>
          <w:numId w:val="1016"/>
        </w:numPr>
      </w:pPr>
      <w:r>
        <w:rPr>
          <w:rFonts w:hint="eastAsia"/>
        </w:rPr>
        <w:t xml:space="preserve">請負代金の額の変更</w:t>
      </w:r>
    </w:p>
    <w:p>
      <w:pPr>
        <w:pStyle w:val="Compact"/>
        <w:numPr>
          <w:ilvl w:val="0"/>
          <w:numId w:val="1016"/>
        </w:numPr>
      </w:pPr>
      <w:r>
        <w:rPr>
          <w:rFonts w:hint="eastAsia"/>
        </w:rPr>
        <w:t xml:space="preserve">損害の負担および算定方法</w:t>
      </w:r>
    </w:p>
    <w:p>
      <w:pPr>
        <w:pStyle w:val="Compact"/>
        <w:numPr>
          <w:ilvl w:val="0"/>
          <w:numId w:val="1017"/>
        </w:numPr>
      </w:pPr>
      <w:r>
        <w:rPr>
          <w:rFonts w:hint="eastAsia"/>
        </w:rPr>
        <w:t xml:space="preserve">甲の都合により工事着手を延期し、または工事の全部もしくは一部を中止する場合、甲乙協議の上、前項各号に準じて取り扱うものとする。</w:t>
      </w:r>
    </w:p>
    <w:bookmarkEnd w:id="17"/>
    <w:bookmarkStart w:id="18" w:name="第8条天災等の不可抗力"/>
    <w:p>
      <w:pPr>
        <w:pStyle w:val="Heading2"/>
      </w:pPr>
      <w:r>
        <w:rPr>
          <w:rFonts w:hint="eastAsia"/>
        </w:rPr>
        <w:t xml:space="preserve">第8条(天災等の不可抗力)</w:t>
      </w:r>
    </w:p>
    <w:p>
      <w:pPr>
        <w:pStyle w:val="Compact"/>
        <w:numPr>
          <w:ilvl w:val="0"/>
          <w:numId w:val="1018"/>
        </w:numPr>
      </w:pPr>
      <w:r>
        <w:rPr>
          <w:rFonts w:hint="eastAsia"/>
        </w:rPr>
        <w:t xml:space="preserve">天災地変、戦争、内乱、テロ、暴動、革命、法令の制定または改廃、感染症の流行、ストライキその他甲または乙の責に帰すべからざる事由(以下「不可抗力」という。)により、本工事の履行が遅延しまたは不能となった場合、当該当事者は本契約上の責任を負わない。</w:t>
      </w:r>
    </w:p>
    <w:p>
      <w:pPr>
        <w:pStyle w:val="Compact"/>
        <w:numPr>
          <w:ilvl w:val="0"/>
          <w:numId w:val="1018"/>
        </w:numPr>
      </w:pPr>
      <w:r>
        <w:rPr>
          <w:rFonts w:hint="eastAsia"/>
        </w:rPr>
        <w:t xml:space="preserve">不可抗力により工期の変更または損害が生じた場合、甲乙協議の上、次の事項を決定するものとする(建設業法第19条第1項第7号対応)。</w:t>
      </w:r>
    </w:p>
    <w:p>
      <w:pPr>
        <w:pStyle w:val="Compact"/>
        <w:numPr>
          <w:ilvl w:val="0"/>
          <w:numId w:val="1019"/>
        </w:numPr>
      </w:pPr>
      <w:r>
        <w:rPr>
          <w:rFonts w:hint="eastAsia"/>
        </w:rPr>
        <w:t xml:space="preserve">工期の変更</w:t>
      </w:r>
    </w:p>
    <w:p>
      <w:pPr>
        <w:pStyle w:val="Compact"/>
        <w:numPr>
          <w:ilvl w:val="0"/>
          <w:numId w:val="1019"/>
        </w:numPr>
      </w:pPr>
      <w:r>
        <w:rPr>
          <w:rFonts w:hint="eastAsia"/>
        </w:rPr>
        <w:t xml:space="preserve">損害の負担および算定方法</w:t>
      </w:r>
    </w:p>
    <w:p>
      <w:pPr>
        <w:pStyle w:val="Compact"/>
        <w:numPr>
          <w:ilvl w:val="0"/>
          <w:numId w:val="1019"/>
        </w:numPr>
      </w:pPr>
      <w:r>
        <w:rPr>
          <w:rFonts w:hint="eastAsia"/>
        </w:rPr>
        <w:t xml:space="preserve">必要な場合の請負代金の額の変更</w:t>
      </w:r>
    </w:p>
    <w:p>
      <w:pPr>
        <w:pStyle w:val="Compact"/>
        <w:numPr>
          <w:ilvl w:val="0"/>
          <w:numId w:val="1020"/>
        </w:numPr>
      </w:pPr>
      <w:r>
        <w:rPr>
          <w:rFonts w:hint="eastAsia"/>
        </w:rPr>
        <w:t xml:space="preserve">不可抗力により工事の継続が長期間困難となった場合、甲または乙は、相手方に書面または電磁的方法により通知の上、本契約を解除することができる。</w:t>
      </w:r>
    </w:p>
    <w:bookmarkEnd w:id="18"/>
    <w:bookmarkStart w:id="19" w:name="第9条価格等の変動による請負代金の変更"/>
    <w:p>
      <w:pPr>
        <w:pStyle w:val="Heading2"/>
      </w:pPr>
      <w:r>
        <w:rPr>
          <w:rFonts w:hint="eastAsia"/>
        </w:rPr>
        <w:t xml:space="preserve">第9条(価格等の変動による請負代金の変更)</w:t>
      </w:r>
    </w:p>
    <w:p>
      <w:pPr>
        <w:pStyle w:val="FirstParagraph"/>
      </w:pPr>
      <w:r>
        <w:rPr>
          <w:rFonts w:hint="eastAsia"/>
        </w:rPr>
        <w:t xml:space="preserve">契約締結後、経済情勢の急激な変動、建設資材費・労務費の著しい変動(原則として[10]%以上の変動)その他の正当な理由により、請負代金の額が不相当となった場合、甲または乙は、相手方に対し、請負代金の額または工事内容の変更を申し出ることができる。当該変更については、甲乙協議の上、書面または電磁的方法により合意するものとする(建設業法第19条第1項第8号対応)。</w:t>
      </w:r>
    </w:p>
    <w:bookmarkEnd w:id="19"/>
    <w:bookmarkStart w:id="20" w:name="第10条資材提供機械貸与"/>
    <w:p>
      <w:pPr>
        <w:pStyle w:val="Heading2"/>
      </w:pPr>
      <w:r>
        <w:rPr>
          <w:rFonts w:hint="eastAsia"/>
        </w:rPr>
        <w:t xml:space="preserve">第10条(資材提供・機械貸与)</w:t>
      </w:r>
    </w:p>
    <w:p>
      <w:pPr>
        <w:pStyle w:val="Compact"/>
        <w:numPr>
          <w:ilvl w:val="0"/>
          <w:numId w:val="1021"/>
        </w:numPr>
      </w:pPr>
      <w:r>
        <w:rPr>
          <w:rFonts w:hint="eastAsia"/>
        </w:rPr>
        <w:t xml:space="preserve">甲が本工事に使用する資材を提供し、または建設機械その他の機械を乙に貸与する場合、その内容および方法は、別紙「支給材・貸与機械リスト」に定めるとおりとする(建設業法第19条第1項第10号対応)。</w:t>
      </w:r>
    </w:p>
    <w:p>
      <w:pPr>
        <w:pStyle w:val="Compact"/>
        <w:numPr>
          <w:ilvl w:val="0"/>
          <w:numId w:val="1021"/>
        </w:numPr>
      </w:pPr>
      <w:r>
        <w:rPr>
          <w:rFonts w:hint="eastAsia"/>
        </w:rPr>
        <w:t xml:space="preserve">乙は、甲から提供を受けた資材および貸与を受けた機械について、善良な管理者の注意をもって保管・使用するものとする。</w:t>
      </w:r>
    </w:p>
    <w:p>
      <w:pPr>
        <w:pStyle w:val="Compact"/>
        <w:numPr>
          <w:ilvl w:val="0"/>
          <w:numId w:val="1021"/>
        </w:numPr>
      </w:pPr>
      <w:r>
        <w:rPr>
          <w:rFonts w:hint="eastAsia"/>
        </w:rPr>
        <w:t xml:space="preserve">本工事終了後、未使用の支給材および貸与機械は、原則として甲に返還するものとする。</w:t>
      </w:r>
    </w:p>
    <w:bookmarkEnd w:id="20"/>
    <w:bookmarkStart w:id="21" w:name="第11条第三者損害の賠償"/>
    <w:p>
      <w:pPr>
        <w:pStyle w:val="Heading2"/>
      </w:pPr>
      <w:r>
        <w:rPr>
          <w:rFonts w:hint="eastAsia"/>
        </w:rPr>
        <w:t xml:space="preserve">第11条(第三者損害の賠償)</w:t>
      </w:r>
    </w:p>
    <w:p>
      <w:pPr>
        <w:pStyle w:val="Compact"/>
        <w:numPr>
          <w:ilvl w:val="0"/>
          <w:numId w:val="1022"/>
        </w:numPr>
      </w:pPr>
      <w:r>
        <w:rPr>
          <w:rFonts w:hint="eastAsia"/>
        </w:rPr>
        <w:t xml:space="preserve">本工事の施工により第三者に損害が生じた場合、原則として乙がその賠償責任を負う(建設業法第19条第1項第9号対応)。</w:t>
      </w:r>
    </w:p>
    <w:p>
      <w:pPr>
        <w:pStyle w:val="Compact"/>
        <w:numPr>
          <w:ilvl w:val="0"/>
          <w:numId w:val="1022"/>
        </w:numPr>
      </w:pPr>
      <w:r>
        <w:rPr>
          <w:rFonts w:hint="eastAsia"/>
        </w:rPr>
        <w:t xml:space="preserve">前項の損害が、次の各号のいずれかに起因する場合、当該責任は甲が負担する。</w:t>
      </w:r>
    </w:p>
    <w:p>
      <w:pPr>
        <w:pStyle w:val="Compact"/>
        <w:numPr>
          <w:ilvl w:val="0"/>
          <w:numId w:val="1023"/>
        </w:numPr>
      </w:pPr>
      <w:r>
        <w:rPr>
          <w:rFonts w:hint="eastAsia"/>
        </w:rPr>
        <w:t xml:space="preserve">甲が支給した資材の欠陥</w:t>
      </w:r>
    </w:p>
    <w:p>
      <w:pPr>
        <w:pStyle w:val="Compact"/>
        <w:numPr>
          <w:ilvl w:val="0"/>
          <w:numId w:val="1023"/>
        </w:numPr>
      </w:pPr>
      <w:r>
        <w:rPr>
          <w:rFonts w:hint="eastAsia"/>
        </w:rPr>
        <w:t xml:space="preserve">甲の指示・指図の誤り</w:t>
      </w:r>
    </w:p>
    <w:p>
      <w:pPr>
        <w:pStyle w:val="Compact"/>
        <w:numPr>
          <w:ilvl w:val="0"/>
          <w:numId w:val="1023"/>
        </w:numPr>
      </w:pPr>
      <w:r>
        <w:rPr>
          <w:rFonts w:hint="eastAsia"/>
        </w:rPr>
        <w:t xml:space="preserve">設計図書の誤り</w:t>
      </w:r>
    </w:p>
    <w:p>
      <w:pPr>
        <w:pStyle w:val="Compact"/>
        <w:numPr>
          <w:ilvl w:val="0"/>
          <w:numId w:val="1023"/>
        </w:numPr>
      </w:pPr>
      <w:r>
        <w:rPr>
          <w:rFonts w:hint="eastAsia"/>
        </w:rPr>
        <w:t xml:space="preserve">その他甲の責に帰すべき事由</w:t>
      </w:r>
    </w:p>
    <w:p>
      <w:pPr>
        <w:pStyle w:val="Compact"/>
        <w:numPr>
          <w:ilvl w:val="0"/>
          <w:numId w:val="1024"/>
        </w:numPr>
      </w:pPr>
      <w:r>
        <w:rPr>
          <w:rFonts w:hint="eastAsia"/>
        </w:rPr>
        <w:t xml:space="preserve">乙は、本工事の施工に関し、第三者賠償責任保険(建設工事保険を含む)に加入することが望ましい。</w:t>
      </w:r>
    </w:p>
    <w:bookmarkEnd w:id="21"/>
    <w:bookmarkStart w:id="22" w:name="第12条契約不適合責任"/>
    <w:p>
      <w:pPr>
        <w:pStyle w:val="Heading2"/>
      </w:pPr>
      <w:r>
        <w:rPr>
          <w:rFonts w:hint="eastAsia"/>
        </w:rPr>
        <w:t xml:space="preserve">第12条(契約不適合責任)</w:t>
      </w:r>
    </w:p>
    <w:p>
      <w:pPr>
        <w:pStyle w:val="Compact"/>
        <w:numPr>
          <w:ilvl w:val="0"/>
          <w:numId w:val="1025"/>
        </w:numPr>
      </w:pPr>
      <w:r>
        <w:rPr>
          <w:rFonts w:hint="eastAsia"/>
        </w:rPr>
        <w:t xml:space="preserve">本工事の引渡し後、本工事に契約不適合(品種・品質・数量・性能等の不適合)が判明した場合、甲は乙に対し、修補、代替物の引渡し、または代金減額を請求することができる(建設業法第19条第1項第13号対応・民法第559条・第562条以下準拠)。</w:t>
      </w:r>
    </w:p>
    <w:p>
      <w:pPr>
        <w:pStyle w:val="Compact"/>
        <w:numPr>
          <w:ilvl w:val="0"/>
          <w:numId w:val="1025"/>
        </w:numPr>
      </w:pPr>
      <w:r>
        <w:rPr>
          <w:rFonts w:hint="eastAsia"/>
        </w:rPr>
        <w:t xml:space="preserve">前項の請求は、甲が契約不適合を知った時から[1年]以内に乙に通知することにより行使する(民法第637条準拠)。</w:t>
      </w:r>
    </w:p>
    <w:p>
      <w:pPr>
        <w:pStyle w:val="Compact"/>
        <w:numPr>
          <w:ilvl w:val="0"/>
          <w:numId w:val="1025"/>
        </w:numPr>
      </w:pPr>
      <w:r>
        <w:rPr>
          <w:rFonts w:hint="eastAsia"/>
        </w:rPr>
        <w:t xml:space="preserve">契約不適合が乙の責に帰すべき事由による場合、乙は甲に対し、修補等に要した費用および甲が被った損害を賠償する責任を負う。</w:t>
      </w:r>
    </w:p>
    <w:p>
      <w:pPr>
        <w:pStyle w:val="Compact"/>
        <w:numPr>
          <w:ilvl w:val="0"/>
          <w:numId w:val="1025"/>
        </w:numPr>
      </w:pPr>
      <w:r>
        <w:rPr>
          <w:rFonts w:hint="eastAsia"/>
        </w:rPr>
        <w:t xml:space="preserve">契約不適合が次の各号のいずれかに起因する場合、乙は責任を負わない(民法第636条準拠)。</w:t>
      </w:r>
    </w:p>
    <w:p>
      <w:pPr>
        <w:pStyle w:val="Compact"/>
        <w:numPr>
          <w:ilvl w:val="0"/>
          <w:numId w:val="1026"/>
        </w:numPr>
      </w:pPr>
      <w:r>
        <w:rPr>
          <w:rFonts w:hint="eastAsia"/>
        </w:rPr>
        <w:t xml:space="preserve">甲の指示・指図の誤り</w:t>
      </w:r>
    </w:p>
    <w:p>
      <w:pPr>
        <w:pStyle w:val="Compact"/>
        <w:numPr>
          <w:ilvl w:val="0"/>
          <w:numId w:val="1026"/>
        </w:numPr>
      </w:pPr>
      <w:r>
        <w:rPr>
          <w:rFonts w:hint="eastAsia"/>
        </w:rPr>
        <w:t xml:space="preserve">甲が支給した資材の欠陥</w:t>
      </w:r>
    </w:p>
    <w:p>
      <w:pPr>
        <w:pStyle w:val="Compact"/>
        <w:numPr>
          <w:ilvl w:val="0"/>
          <w:numId w:val="1026"/>
        </w:numPr>
      </w:pPr>
      <w:r>
        <w:rPr>
          <w:rFonts w:hint="eastAsia"/>
        </w:rPr>
        <w:t xml:space="preserve">設計図書の誤り(乙が当該誤りを知り、または知り得たにもかかわらず通知しなかった場合を除く)</w:t>
      </w:r>
    </w:p>
    <w:p>
      <w:pPr>
        <w:pStyle w:val="Compact"/>
        <w:numPr>
          <w:ilvl w:val="0"/>
          <w:numId w:val="1027"/>
        </w:numPr>
      </w:pPr>
      <w:r>
        <w:rPr>
          <w:rFonts w:hint="eastAsia"/>
        </w:rPr>
        <w:t xml:space="preserve">本契約不適合責任の存続期間は、本工事の引渡日から[2年間]とする。ただし、乙の故意または重過失による場合は、当該期間を経過した後も民法の規定に従う。</w:t>
      </w:r>
    </w:p>
    <w:bookmarkEnd w:id="22"/>
    <w:bookmarkStart w:id="23" w:name="第13条履行遅滞損害金"/>
    <w:p>
      <w:pPr>
        <w:pStyle w:val="Heading2"/>
      </w:pPr>
      <w:r>
        <w:rPr>
          <w:rFonts w:hint="eastAsia"/>
        </w:rPr>
        <w:t xml:space="preserve">第13条(履行遅滞・損害金)</w:t>
      </w:r>
    </w:p>
    <w:p>
      <w:pPr>
        <w:pStyle w:val="Compact"/>
        <w:numPr>
          <w:ilvl w:val="0"/>
          <w:numId w:val="1028"/>
        </w:numPr>
      </w:pPr>
      <w:r>
        <w:rPr>
          <w:rFonts w:hint="eastAsia"/>
        </w:rPr>
        <w:t xml:space="preserve">乙が工期内に本工事を完成しない場合、甲は乙に対し、完成遅延日数1日あたり請負代金の[0.05]%(年率約18%相当)に相当する遅延損害金を請求することができる(建設業法第19条第1項第14号対応)。</w:t>
      </w:r>
    </w:p>
    <w:p>
      <w:pPr>
        <w:pStyle w:val="Compact"/>
        <w:numPr>
          <w:ilvl w:val="0"/>
          <w:numId w:val="1028"/>
        </w:numPr>
      </w:pPr>
      <w:r>
        <w:rPr>
          <w:rFonts w:hint="eastAsia"/>
        </w:rPr>
        <w:t xml:space="preserve">甲が請負代金の支払を遅延した場合、乙は甲に対し、遅延日数1日あたり遅延した金額の[0.04]%(年率約14.6%相当)に相当する遅延損害金を請求することができる。</w:t>
      </w:r>
    </w:p>
    <w:p>
      <w:pPr>
        <w:pStyle w:val="Compact"/>
        <w:numPr>
          <w:ilvl w:val="0"/>
          <w:numId w:val="1028"/>
        </w:numPr>
      </w:pPr>
      <w:r>
        <w:rPr>
          <w:rFonts w:hint="eastAsia"/>
        </w:rPr>
        <w:t xml:space="preserve">前各項の損害金は、当事者が遅延について自己の責に帰すべき事由がないことを立証した場合は適用しない。</w:t>
      </w:r>
    </w:p>
    <w:bookmarkEnd w:id="23"/>
    <w:bookmarkStart w:id="24" w:name="第14条工事中止契約解除"/>
    <w:p>
      <w:pPr>
        <w:pStyle w:val="Heading2"/>
      </w:pPr>
      <w:r>
        <w:rPr>
          <w:rFonts w:hint="eastAsia"/>
        </w:rPr>
        <w:t xml:space="preserve">第14条(工事中止・契約解除)</w:t>
      </w:r>
    </w:p>
    <w:p>
      <w:pPr>
        <w:pStyle w:val="Compact"/>
        <w:numPr>
          <w:ilvl w:val="0"/>
          <w:numId w:val="1029"/>
        </w:numPr>
      </w:pPr>
      <w:r>
        <w:rPr>
          <w:rFonts w:hint="eastAsia"/>
        </w:rPr>
        <w:t xml:space="preserve">甲または乙は、相手方が次の各号のいずれかに該当した場合、書面または電磁的方法による相当期間の催告の上、本契約を解除することができる。</w:t>
      </w:r>
    </w:p>
    <w:p>
      <w:pPr>
        <w:pStyle w:val="Compact"/>
        <w:numPr>
          <w:ilvl w:val="0"/>
          <w:numId w:val="1030"/>
        </w:numPr>
      </w:pPr>
      <w:r>
        <w:rPr>
          <w:rFonts w:hint="eastAsia"/>
        </w:rPr>
        <w:t xml:space="preserve">本契約上の重要な義務に違反したとき</w:t>
      </w:r>
    </w:p>
    <w:p>
      <w:pPr>
        <w:pStyle w:val="Compact"/>
        <w:numPr>
          <w:ilvl w:val="0"/>
          <w:numId w:val="1030"/>
        </w:numPr>
      </w:pPr>
      <w:r>
        <w:rPr>
          <w:rFonts w:hint="eastAsia"/>
        </w:rPr>
        <w:t xml:space="preserve">支払停止、支払不能、破産・民事再生・会社更生等の手続開始の申立てがあったとき</w:t>
      </w:r>
    </w:p>
    <w:p>
      <w:pPr>
        <w:pStyle w:val="Compact"/>
        <w:numPr>
          <w:ilvl w:val="0"/>
          <w:numId w:val="1030"/>
        </w:numPr>
      </w:pPr>
      <w:r>
        <w:rPr>
          <w:rFonts w:hint="eastAsia"/>
        </w:rPr>
        <w:t xml:space="preserve">第16条(反社条項)に違反したとき(無催告で解除可能)</w:t>
      </w:r>
    </w:p>
    <w:p>
      <w:pPr>
        <w:pStyle w:val="Compact"/>
        <w:numPr>
          <w:ilvl w:val="0"/>
          <w:numId w:val="1030"/>
        </w:numPr>
      </w:pPr>
      <w:r>
        <w:rPr>
          <w:rFonts w:hint="eastAsia"/>
        </w:rPr>
        <w:t xml:space="preserve">監督官庁から営業停止、建設業許可の取消し等の処分を受けたとき</w:t>
      </w:r>
    </w:p>
    <w:p>
      <w:pPr>
        <w:pStyle w:val="Compact"/>
        <w:numPr>
          <w:ilvl w:val="0"/>
          <w:numId w:val="1030"/>
        </w:numPr>
      </w:pPr>
      <w:r>
        <w:rPr>
          <w:rFonts w:hint="eastAsia"/>
        </w:rPr>
        <w:t xml:space="preserve">その他本契約を継続しがたい重大な事由が生じたとき</w:t>
      </w:r>
    </w:p>
    <w:p>
      <w:pPr>
        <w:pStyle w:val="Compact"/>
        <w:numPr>
          <w:ilvl w:val="0"/>
          <w:numId w:val="1031"/>
        </w:numPr>
      </w:pPr>
      <w:r>
        <w:rPr>
          <w:rFonts w:hint="eastAsia"/>
        </w:rPr>
        <w:t xml:space="preserve">本契約が解除された場合、それまでに完了した工事部分については、出来高に応じた請負代金を甲が乙に支払うものとする(民法第634条準拠)。</w:t>
      </w:r>
    </w:p>
    <w:p>
      <w:pPr>
        <w:pStyle w:val="Compact"/>
        <w:numPr>
          <w:ilvl w:val="0"/>
          <w:numId w:val="1031"/>
        </w:numPr>
      </w:pPr>
      <w:r>
        <w:rPr>
          <w:rFonts w:hint="eastAsia"/>
        </w:rPr>
        <w:t xml:space="preserve">乙は、本契約解除の場合、解除日から相当期間内に工事現場を整理し、甲に引き渡すものとする。</w:t>
      </w:r>
    </w:p>
    <w:bookmarkEnd w:id="24"/>
    <w:bookmarkStart w:id="25" w:name="第15条安全衛生工事保険"/>
    <w:p>
      <w:pPr>
        <w:pStyle w:val="Heading2"/>
      </w:pPr>
      <w:r>
        <w:rPr>
          <w:rFonts w:hint="eastAsia"/>
        </w:rPr>
        <w:t xml:space="preserve">第15条(安全衛生・工事保険)</w:t>
      </w:r>
    </w:p>
    <w:p>
      <w:pPr>
        <w:pStyle w:val="Compact"/>
        <w:numPr>
          <w:ilvl w:val="0"/>
          <w:numId w:val="1032"/>
        </w:numPr>
      </w:pPr>
      <w:r>
        <w:rPr>
          <w:rFonts w:hint="eastAsia"/>
        </w:rPr>
        <w:t xml:space="preserve">乙は、本工事の施工に関し、労働安全衛生法その他関係法令を遵守し、労働者の安全衛生確保のため必要な措置を講じるものとする。</w:t>
      </w:r>
    </w:p>
    <w:p>
      <w:pPr>
        <w:pStyle w:val="Compact"/>
        <w:numPr>
          <w:ilvl w:val="0"/>
          <w:numId w:val="1032"/>
        </w:numPr>
      </w:pPr>
      <w:r>
        <w:rPr>
          <w:rFonts w:hint="eastAsia"/>
        </w:rPr>
        <w:t xml:space="preserve">乙は、本工事の施工に関し、次の保険に加入することが望ましい。</w:t>
      </w:r>
    </w:p>
    <w:p>
      <w:pPr>
        <w:pStyle w:val="Compact"/>
        <w:numPr>
          <w:ilvl w:val="0"/>
          <w:numId w:val="1033"/>
        </w:numPr>
      </w:pPr>
      <w:r>
        <w:rPr>
          <w:rFonts w:hint="eastAsia"/>
        </w:rPr>
        <w:t xml:space="preserve">労災保険(法令上の義務)</w:t>
      </w:r>
    </w:p>
    <w:p>
      <w:pPr>
        <w:pStyle w:val="Compact"/>
        <w:numPr>
          <w:ilvl w:val="0"/>
          <w:numId w:val="1033"/>
        </w:numPr>
      </w:pPr>
      <w:r>
        <w:rPr>
          <w:rFonts w:hint="eastAsia"/>
        </w:rPr>
        <w:t xml:space="preserve">建設工事保険・組立保険</w:t>
      </w:r>
    </w:p>
    <w:p>
      <w:pPr>
        <w:pStyle w:val="Compact"/>
        <w:numPr>
          <w:ilvl w:val="0"/>
          <w:numId w:val="1033"/>
        </w:numPr>
      </w:pPr>
      <w:r>
        <w:rPr>
          <w:rFonts w:hint="eastAsia"/>
        </w:rPr>
        <w:t xml:space="preserve">第三者賠償責任保険</w:t>
      </w:r>
    </w:p>
    <w:p>
      <w:pPr>
        <w:pStyle w:val="Compact"/>
        <w:numPr>
          <w:ilvl w:val="0"/>
          <w:numId w:val="1034"/>
        </w:numPr>
      </w:pPr>
      <w:r>
        <w:rPr>
          <w:rFonts w:hint="eastAsia"/>
        </w:rPr>
        <w:t xml:space="preserve">乙は、本工事に係る廃棄物の処理について、廃棄物の処理及び清掃に関する法律その他関係法令を遵守するものとする。</w:t>
      </w:r>
    </w:p>
    <w:p>
      <w:pPr>
        <w:pStyle w:val="Compact"/>
        <w:numPr>
          <w:ilvl w:val="0"/>
          <w:numId w:val="1034"/>
        </w:numPr>
      </w:pPr>
      <w:r>
        <w:rPr>
          <w:rFonts w:hint="eastAsia"/>
        </w:rPr>
        <w:t xml:space="preserve">乙は、本工事の施工に伴う騒音・振動・粉じん等について、近隣住民への配慮を行うものとする。</w:t>
      </w:r>
    </w:p>
    <w:bookmarkEnd w:id="25"/>
    <w:bookmarkStart w:id="26" w:name="第16条反社会的勢力の排除"/>
    <w:p>
      <w:pPr>
        <w:pStyle w:val="Heading2"/>
      </w:pPr>
      <w:r>
        <w:rPr>
          <w:rFonts w:hint="eastAsia"/>
        </w:rPr>
        <w:t xml:space="preserve">第16条(反社会的勢力の排除)</w:t>
      </w:r>
    </w:p>
    <w:p>
      <w:pPr>
        <w:pStyle w:val="Compact"/>
        <w:numPr>
          <w:ilvl w:val="0"/>
          <w:numId w:val="1035"/>
        </w:numPr>
      </w:pPr>
      <w:r>
        <w:rPr>
          <w:rFonts w:hint="eastAsia"/>
        </w:rPr>
        <w:t xml:space="preserve">甲および乙は、自己および自己の役員・従業員等が、暴力団、暴力団員、暴力団準構成員、暴力団関係企業、総会屋、社会運動標榜ゴロ、特殊知能暴力集団等その他これらに準ずる者(以下総称して「反社会的勢力」という。)に該当しないこと、および反社会的勢力と社会的に非難されるべき関係を有しないことを表明し、保証する。</w:t>
      </w:r>
    </w:p>
    <w:p>
      <w:pPr>
        <w:pStyle w:val="Compact"/>
        <w:numPr>
          <w:ilvl w:val="0"/>
          <w:numId w:val="1035"/>
        </w:numPr>
      </w:pPr>
      <w:r>
        <w:rPr>
          <w:rFonts w:hint="eastAsia"/>
        </w:rPr>
        <w:t xml:space="preserve">甲または乙が前項に違反した場合、相手方は、何らの催告を要せず、直ちに本契約を解除することができる。</w:t>
      </w:r>
    </w:p>
    <w:p>
      <w:pPr>
        <w:pStyle w:val="Compact"/>
        <w:numPr>
          <w:ilvl w:val="0"/>
          <w:numId w:val="1035"/>
        </w:numPr>
      </w:pPr>
      <w:r>
        <w:rPr>
          <w:rFonts w:hint="eastAsia"/>
        </w:rPr>
        <w:t xml:space="preserve">前項に基づく解除によって解除された当事者に損害が生じても、解除した当事者は損害賠償の責めを負わない。</w:t>
      </w:r>
    </w:p>
    <w:bookmarkEnd w:id="26"/>
    <w:bookmarkStart w:id="27" w:name="第17条権利義務の譲渡禁止"/>
    <w:p>
      <w:pPr>
        <w:pStyle w:val="Heading2"/>
      </w:pPr>
      <w:r>
        <w:rPr>
          <w:rFonts w:hint="eastAsia"/>
        </w:rPr>
        <w:t xml:space="preserve">第17条(権利義務の譲渡禁止)</w:t>
      </w:r>
    </w:p>
    <w:p>
      <w:pPr>
        <w:pStyle w:val="FirstParagraph"/>
      </w:pPr>
      <w:r>
        <w:rPr>
          <w:rFonts w:hint="eastAsia"/>
        </w:rPr>
        <w:t xml:space="preserve">甲および乙は、相手方の事前の書面または電磁的方法による承諾を得ることなく、本契約上の地位ならびに本契約に基づく権利および義務の全部または一部を、第三者に譲渡し、承継させ、または担保に供してはならない。</w:t>
      </w:r>
    </w:p>
    <w:bookmarkEnd w:id="27"/>
    <w:bookmarkStart w:id="28" w:name="第18条合意管轄準拠法協議事項"/>
    <w:p>
      <w:pPr>
        <w:pStyle w:val="Heading2"/>
      </w:pPr>
      <w:r>
        <w:rPr>
          <w:rFonts w:hint="eastAsia"/>
        </w:rPr>
        <w:t xml:space="preserve">第18条(合意管轄・準拠法・協議事項)</w:t>
      </w:r>
    </w:p>
    <w:p>
      <w:pPr>
        <w:pStyle w:val="Compact"/>
        <w:numPr>
          <w:ilvl w:val="0"/>
          <w:numId w:val="1036"/>
        </w:numPr>
      </w:pPr>
      <w:r>
        <w:rPr>
          <w:rFonts w:hint="eastAsia"/>
        </w:rPr>
        <w:t xml:space="preserve">本契約に関して生じた紛争については、[本工事の所在地を管轄する地方裁判所]を第一審の専属的合意管轄裁判所とする(建設業法第19条第1項第15号対応)。</w:t>
      </w:r>
    </w:p>
    <w:p>
      <w:pPr>
        <w:pStyle w:val="Compact"/>
        <w:numPr>
          <w:ilvl w:val="0"/>
          <w:numId w:val="1036"/>
        </w:numPr>
      </w:pPr>
      <w:r>
        <w:rPr>
          <w:rFonts w:hint="eastAsia"/>
        </w:rPr>
        <w:t xml:space="preserve">本契約は、日本法を準拠法とする。</w:t>
      </w:r>
    </w:p>
    <w:p>
      <w:pPr>
        <w:pStyle w:val="Compact"/>
        <w:numPr>
          <w:ilvl w:val="0"/>
          <w:numId w:val="1036"/>
        </w:numPr>
      </w:pPr>
      <w:r>
        <w:rPr>
          <w:rFonts w:hint="eastAsia"/>
        </w:rPr>
        <w:t xml:space="preserve">本契約に定めのない事項または本契約の解釈に疑義が生じた事項については、甲乙誠意をもって協議の上、これを解決するものとする。</w:t>
      </w:r>
    </w:p>
    <w:p>
      <w:pPr>
        <w:pStyle w:val="Compact"/>
        <w:numPr>
          <w:ilvl w:val="0"/>
          <w:numId w:val="1036"/>
        </w:numPr>
      </w:pPr>
      <w:r>
        <w:rPr>
          <w:rFonts w:hint="eastAsia"/>
        </w:rPr>
        <w:t xml:space="preserve">第1項にかかわらず、甲乙協議により、建設工事紛争審査会のあっせん・調停・仲裁を利用することができる。</w:t>
      </w:r>
    </w:p>
    <w:bookmarkEnd w:id="28"/>
    <w:bookmarkStart w:id="29" w:name="末尾署名欄"/>
    <w:p>
      <w:pPr>
        <w:pStyle w:val="Heading2"/>
      </w:pPr>
      <w:r>
        <w:rPr>
          <w:rFonts w:hint="eastAsia"/>
        </w:rPr>
        <w:t xml:space="preserve">末尾署名欄</w:t>
      </w:r>
    </w:p>
    <w:p>
      <w:pPr>
        <w:pStyle w:val="FirstParagraph"/>
      </w:pPr>
      <w:r>
        <w:rPr>
          <w:rFonts w:hint="eastAsia"/>
        </w:rPr>
        <w:t xml:space="preserve">本契約の成立を証するため、本書2通を作成し、甲乙記名押印の上、各自1通を保有する。</w:t>
      </w:r>
    </w:p>
    <w:p>
      <w:pPr>
        <w:pStyle w:val="BodyText"/>
      </w:pPr>
      <w:r>
        <w:rPr>
          <w:rFonts w:hint="eastAsia"/>
        </w:rPr>
        <w:t xml:space="preserve">(電子契約により締結する場合は、本項を「本契約の成立を証するため、本書を電磁的記録として作成し、甲乙電子署名の上、各自その電磁的記録を保管する。」に置き換えてください。</w:t>
      </w:r>
      <w:r>
        <w:rPr>
          <w:rFonts w:hint="eastAsia"/>
          <w:b/>
          <w:bCs/>
        </w:rPr>
        <w:t xml:space="preserve">建設業法第19条第3項により電磁的方法による契約書面化が認容</w:t>
      </w:r>
      <w:r>
        <w:t xml:space="preserve">されており、</w:t>
      </w:r>
      <w:r>
        <w:rPr>
          <w:rFonts w:hint="eastAsia"/>
          <w:b/>
          <w:bCs/>
        </w:rPr>
        <w:t xml:space="preserve">電子契約での締結時は印紙税は不要</w:t>
      </w:r>
      <w:r>
        <w:t xml:space="preserve">です。)</w:t>
      </w:r>
    </w:p>
    <w:p>
      <w:pPr>
        <w:pStyle w:val="BodyText"/>
      </w:pPr>
      <w:r>
        <w:rPr>
          <w:rFonts w:hint="eastAsia"/>
        </w:rPr>
        <w:t xml:space="preserve">[YYYY年MM月DD日]</w:t>
      </w:r>
    </w:p>
    <w:p>
      <w:pPr>
        <w:pStyle w:val="BodyText"/>
      </w:pPr>
      <w:r>
        <w:rPr>
          <w:rFonts w:hint="eastAsia"/>
        </w:rPr>
        <w:t xml:space="preserve">(甲・注文者)</w:t>
      </w:r>
      <w:r>
        <w:t xml:space="preserve"> </w:t>
      </w:r>
      <w:r>
        <w:rPr>
          <w:rFonts w:hint="eastAsia"/>
        </w:rPr>
        <w:t xml:space="preserve">住所:[甲の住所]</w:t>
      </w:r>
      <w:r>
        <w:t xml:space="preserve"> </w:t>
      </w:r>
      <w:r>
        <w:rPr>
          <w:rFonts w:hint="eastAsia"/>
        </w:rPr>
        <w:t xml:space="preserve">名称:[甲の正式名称]</w:t>
      </w:r>
      <w:r>
        <w:t xml:space="preserve"> </w:t>
      </w:r>
      <w:r>
        <w:rPr>
          <w:rFonts w:hint="eastAsia"/>
        </w:rPr>
        <w:t xml:space="preserve">代表者:[代表者役職・氏名]</w:t>
      </w:r>
      <w:r>
        <w:t xml:space="preserve"> </w:t>
      </w:r>
      <w:r>
        <w:rPr>
          <w:rFonts w:hint="eastAsia"/>
        </w:rPr>
        <w:t xml:space="preserve">印</w:t>
      </w:r>
    </w:p>
    <w:p>
      <w:pPr>
        <w:pStyle w:val="BodyText"/>
      </w:pPr>
      <w:r>
        <w:rPr>
          <w:rFonts w:hint="eastAsia"/>
        </w:rPr>
        <w:t xml:space="preserve">(乙・請負人)</w:t>
      </w:r>
      <w:r>
        <w:t xml:space="preserve"> </w:t>
      </w:r>
      <w:r>
        <w:rPr>
          <w:rFonts w:hint="eastAsia"/>
        </w:rPr>
        <w:t xml:space="preserve">住所:[乙の住所]</w:t>
      </w:r>
      <w:r>
        <w:t xml:space="preserve"> </w:t>
      </w:r>
      <w:r>
        <w:rPr>
          <w:rFonts w:hint="eastAsia"/>
        </w:rPr>
        <w:t xml:space="preserve">名称:[乙の正式名称]</w:t>
      </w:r>
      <w:r>
        <w:t xml:space="preserve"> </w:t>
      </w:r>
      <w:r>
        <w:rPr>
          <w:rFonts w:hint="eastAsia"/>
        </w:rPr>
        <w:t xml:space="preserve">代表者:[代表者役職・氏名]</w:t>
      </w:r>
      <w:r>
        <w:t xml:space="preserve"> </w:t>
      </w:r>
      <w:r>
        <w:rPr>
          <w:rFonts w:hint="eastAsia"/>
        </w:rPr>
        <w:t xml:space="preserve">印</w:t>
      </w:r>
      <w:r>
        <w:t xml:space="preserve"> </w:t>
      </w:r>
      <w:r>
        <w:rPr>
          <w:rFonts w:hint="eastAsia"/>
        </w:rPr>
        <w:t xml:space="preserve">建設業許可番号:[国土交通大臣許可/都道府県知事許可+番号]</w:t>
      </w:r>
      <w:r>
        <w:t xml:space="preserve"> </w:t>
      </w:r>
      <w:r>
        <w:rPr>
          <w:rFonts w:hint="eastAsia"/>
        </w:rPr>
        <w:t xml:space="preserve">(建設工事の主任技術者または監理技術者:[氏名・資格])</w:t>
      </w:r>
    </w:p>
    <w:p>
      <w:r>
        <w:pict>
          <v:rect style="width:0;height:1.5pt" o:hralign="center" o:hrstd="t" o:hr="t"/>
        </w:pict>
      </w:r>
    </w:p>
    <w:bookmarkEnd w:id="29"/>
    <w:bookmarkStart w:id="32" w:name="別紙設計図書仕様書雛形"/>
    <w:p>
      <w:pPr>
        <w:pStyle w:val="Heading2"/>
      </w:pPr>
      <w:r>
        <w:rPr>
          <w:rFonts w:hint="eastAsia"/>
        </w:rPr>
        <w:t xml:space="preserve">別紙「設計図書・仕様書」(雛形)</w:t>
      </w:r>
    </w:p>
    <w:bookmarkStart w:id="30" w:name="設計図書"/>
    <w:p>
      <w:pPr>
        <w:pStyle w:val="Heading3"/>
      </w:pPr>
      <w:r>
        <w:t xml:space="preserve">1. </w:t>
      </w:r>
      <w:r>
        <w:rPr>
          <w:rFonts w:hint="eastAsia"/>
        </w:rPr>
        <w:t xml:space="preserve">設計図書</w:t>
      </w:r>
    </w:p>
    <w:p>
      <w:pPr>
        <w:pStyle w:val="FirstParagraph"/>
      </w:pPr>
      <w:r>
        <w:rPr>
          <w:rFonts w:hint="eastAsia"/>
        </w:rPr>
        <w:t xml:space="preserve">別途交付する図面(図面番号:[○○]、図面枚数:[○○枚])のとおり</w:t>
      </w:r>
    </w:p>
    <w:bookmarkEnd w:id="30"/>
    <w:bookmarkStart w:id="31" w:name="仕様書"/>
    <w:p>
      <w:pPr>
        <w:pStyle w:val="Heading3"/>
      </w:pPr>
      <w:r>
        <w:t xml:space="preserve">2. </w:t>
      </w:r>
      <w:r>
        <w:rPr>
          <w:rFonts w:hint="eastAsia"/>
        </w:rPr>
        <w:t xml:space="preserve">仕様書</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項目</w:t>
            </w:r>
          </w:p>
        </w:tc>
        <w:tc>
          <w:tcPr/>
          <w:p>
            <w:pPr>
              <w:pStyle w:val="Compact"/>
            </w:pPr>
            <w:r>
              <w:rPr>
                <w:rFonts w:hint="eastAsia"/>
              </w:rPr>
              <w:t xml:space="preserve">内容</w:t>
            </w:r>
          </w:p>
        </w:tc>
      </w:tr>
      <w:tr>
        <w:tc>
          <w:tcPr/>
          <w:p>
            <w:pPr>
              <w:pStyle w:val="Compact"/>
            </w:pPr>
            <w:r>
              <w:rPr>
                <w:rFonts w:hint="eastAsia"/>
              </w:rPr>
              <w:t xml:space="preserve">構造</w:t>
            </w:r>
          </w:p>
        </w:tc>
        <w:tc>
          <w:tcPr/>
          <w:p>
            <w:pPr>
              <w:pStyle w:val="Compact"/>
            </w:pPr>
            <w:r>
              <w:rPr>
                <w:rFonts w:hint="eastAsia"/>
              </w:rPr>
              <w:t xml:space="preserve">[構造種別:鉄筋コンクリート造/木造/鉄骨造</w:t>
            </w:r>
            <w:r>
              <w:t xml:space="preserve"> </w:t>
            </w:r>
            <w:r>
              <w:rPr>
                <w:rFonts w:hint="eastAsia"/>
              </w:rPr>
              <w:t xml:space="preserve">等]</w:t>
            </w:r>
          </w:p>
        </w:tc>
      </w:tr>
      <w:tr>
        <w:tc>
          <w:tcPr/>
          <w:p>
            <w:pPr>
              <w:pStyle w:val="Compact"/>
            </w:pPr>
            <w:r>
              <w:rPr>
                <w:rFonts w:hint="eastAsia"/>
              </w:rPr>
              <w:t xml:space="preserve">規模</w:t>
            </w:r>
          </w:p>
        </w:tc>
        <w:tc>
          <w:tcPr/>
          <w:p>
            <w:pPr>
              <w:pStyle w:val="Compact"/>
            </w:pPr>
            <w:r>
              <w:rPr>
                <w:rFonts w:hint="eastAsia"/>
              </w:rPr>
              <w:t xml:space="preserve">[延床面積、階数等]</w:t>
            </w:r>
          </w:p>
        </w:tc>
      </w:tr>
      <w:tr>
        <w:tc>
          <w:tcPr/>
          <w:p>
            <w:pPr>
              <w:pStyle w:val="Compact"/>
            </w:pPr>
            <w:r>
              <w:rPr>
                <w:rFonts w:hint="eastAsia"/>
              </w:rPr>
              <w:t xml:space="preserve">主要使用材料</w:t>
            </w:r>
          </w:p>
        </w:tc>
        <w:tc>
          <w:tcPr/>
          <w:p>
            <w:pPr>
              <w:pStyle w:val="Compact"/>
            </w:pPr>
            <w:r>
              <w:rPr>
                <w:rFonts w:hint="eastAsia"/>
              </w:rPr>
              <w:t xml:space="preserve">[材料の規格・等級]</w:t>
            </w:r>
          </w:p>
        </w:tc>
      </w:tr>
      <w:tr>
        <w:tc>
          <w:tcPr/>
          <w:p>
            <w:pPr>
              <w:pStyle w:val="Compact"/>
            </w:pPr>
            <w:r>
              <w:rPr>
                <w:rFonts w:hint="eastAsia"/>
              </w:rPr>
              <w:t xml:space="preserve">設備</w:t>
            </w:r>
          </w:p>
        </w:tc>
        <w:tc>
          <w:tcPr/>
          <w:p>
            <w:pPr>
              <w:pStyle w:val="Compact"/>
            </w:pPr>
            <w:r>
              <w:rPr>
                <w:rFonts w:hint="eastAsia"/>
              </w:rPr>
              <w:t xml:space="preserve">[電気設備・給排水設備・空調設備等]</w:t>
            </w:r>
          </w:p>
        </w:tc>
      </w:tr>
      <w:tr>
        <w:tc>
          <w:tcPr/>
          <w:p>
            <w:pPr>
              <w:pStyle w:val="Compact"/>
            </w:pPr>
            <w:r>
              <w:rPr>
                <w:rFonts w:hint="eastAsia"/>
              </w:rPr>
              <w:t xml:space="preserve">仕上げ</w:t>
            </w:r>
          </w:p>
        </w:tc>
        <w:tc>
          <w:tcPr/>
          <w:p>
            <w:pPr>
              <w:pStyle w:val="Compact"/>
            </w:pPr>
            <w:r>
              <w:rPr>
                <w:rFonts w:hint="eastAsia"/>
              </w:rPr>
              <w:t xml:space="preserve">[外装・内装の仕上げ仕様]</w:t>
            </w:r>
          </w:p>
        </w:tc>
      </w:tr>
      <w:tr>
        <w:tc>
          <w:tcPr/>
          <w:p>
            <w:pPr>
              <w:pStyle w:val="Compact"/>
            </w:pPr>
            <w:r>
              <w:rPr>
                <w:rFonts w:hint="eastAsia"/>
              </w:rPr>
              <w:t xml:space="preserve">その他特記事項</w:t>
            </w:r>
          </w:p>
        </w:tc>
        <w:tc>
          <w:tcPr/>
          <w:p>
            <w:pPr>
              <w:pStyle w:val="Compact"/>
            </w:pPr>
            <w:r>
              <w:rPr>
                <w:rFonts w:hint="eastAsia"/>
              </w:rPr>
              <w:t xml:space="preserve">[特記事項を記載]</w:t>
            </w:r>
          </w:p>
        </w:tc>
      </w:tr>
    </w:tbl>
    <w:p>
      <w:r>
        <w:pict>
          <v:rect style="width:0;height:1.5pt" o:hralign="center" o:hrstd="t" o:hr="t"/>
        </w:pict>
      </w:r>
    </w:p>
    <w:bookmarkEnd w:id="31"/>
    <w:bookmarkEnd w:id="32"/>
    <w:bookmarkStart w:id="33" w:name="別紙内訳書雛形"/>
    <w:p>
      <w:pPr>
        <w:pStyle w:val="Heading2"/>
      </w:pPr>
      <w:r>
        <w:rPr>
          <w:rFonts w:hint="eastAsia"/>
        </w:rPr>
        <w:t xml:space="preserve">別紙「内訳書」(雛形)</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No</w:t>
            </w:r>
          </w:p>
        </w:tc>
        <w:tc>
          <w:tcPr/>
          <w:p>
            <w:pPr>
              <w:pStyle w:val="Compact"/>
            </w:pPr>
            <w:r>
              <w:rPr>
                <w:rFonts w:hint="eastAsia"/>
              </w:rPr>
              <w:t xml:space="preserve">工事項目</w:t>
            </w:r>
          </w:p>
        </w:tc>
        <w:tc>
          <w:tcPr/>
          <w:p>
            <w:pPr>
              <w:pStyle w:val="Compact"/>
            </w:pPr>
            <w:r>
              <w:rPr>
                <w:rFonts w:hint="eastAsia"/>
              </w:rPr>
              <w:t xml:space="preserve">数量</w:t>
            </w:r>
          </w:p>
        </w:tc>
        <w:tc>
          <w:tcPr/>
          <w:p>
            <w:pPr>
              <w:pStyle w:val="Compact"/>
            </w:pPr>
            <w:r>
              <w:rPr>
                <w:rFonts w:hint="eastAsia"/>
              </w:rPr>
              <w:t xml:space="preserve">単価(税抜)</w:t>
            </w:r>
          </w:p>
        </w:tc>
        <w:tc>
          <w:tcPr/>
          <w:p>
            <w:pPr>
              <w:pStyle w:val="Compact"/>
            </w:pPr>
            <w:r>
              <w:rPr>
                <w:rFonts w:hint="eastAsia"/>
              </w:rPr>
              <w:t xml:space="preserve">金額(税抜)</w:t>
            </w:r>
          </w:p>
        </w:tc>
      </w:tr>
      <w:tr>
        <w:tc>
          <w:tcPr/>
          <w:p>
            <w:pPr>
              <w:pStyle w:val="Compact"/>
            </w:pPr>
            <w:r>
              <w:t xml:space="preserve">1</w:t>
            </w:r>
          </w:p>
        </w:tc>
        <w:tc>
          <w:tcPr/>
          <w:p>
            <w:pPr>
              <w:pStyle w:val="Compact"/>
            </w:pPr>
            <w:r>
              <w:rPr>
                <w:rFonts w:hint="eastAsia"/>
              </w:rPr>
              <w:t xml:space="preserve">[仮設工事]</w:t>
            </w:r>
          </w:p>
        </w:tc>
        <w:tc>
          <w:tcPr/>
          <w:p>
            <w:pPr>
              <w:pStyle w:val="Compact"/>
            </w:pPr>
            <w:r>
              <w:t xml:space="preserve">[○○]</w:t>
            </w:r>
          </w:p>
        </w:tc>
        <w:tc>
          <w:tcPr/>
          <w:p>
            <w:pPr>
              <w:pStyle w:val="Compact"/>
            </w:pPr>
            <w:r>
              <w:rPr>
                <w:rFonts w:hint="eastAsia"/>
              </w:rPr>
              <w:t xml:space="preserve">[金額]円</w:t>
            </w:r>
          </w:p>
        </w:tc>
        <w:tc>
          <w:tcPr/>
          <w:p>
            <w:pPr>
              <w:pStyle w:val="Compact"/>
            </w:pPr>
            <w:r>
              <w:rPr>
                <w:rFonts w:hint="eastAsia"/>
              </w:rPr>
              <w:t xml:space="preserve">[金額]円</w:t>
            </w:r>
          </w:p>
        </w:tc>
      </w:tr>
      <w:tr>
        <w:tc>
          <w:tcPr/>
          <w:p>
            <w:pPr>
              <w:pStyle w:val="Compact"/>
            </w:pPr>
            <w:r>
              <w:t xml:space="preserve">2</w:t>
            </w:r>
          </w:p>
        </w:tc>
        <w:tc>
          <w:tcPr/>
          <w:p>
            <w:pPr>
              <w:pStyle w:val="Compact"/>
            </w:pPr>
            <w:r>
              <w:rPr>
                <w:rFonts w:hint="eastAsia"/>
              </w:rPr>
              <w:t xml:space="preserve">[基礎工事]</w:t>
            </w:r>
          </w:p>
        </w:tc>
        <w:tc>
          <w:tcPr/>
          <w:p>
            <w:pPr>
              <w:pStyle w:val="Compact"/>
            </w:pPr>
            <w:r>
              <w:t xml:space="preserve">[○○]</w:t>
            </w:r>
          </w:p>
        </w:tc>
        <w:tc>
          <w:tcPr/>
          <w:p>
            <w:pPr>
              <w:pStyle w:val="Compact"/>
            </w:pPr>
            <w:r>
              <w:rPr>
                <w:rFonts w:hint="eastAsia"/>
              </w:rPr>
              <w:t xml:space="preserve">[金額]円</w:t>
            </w:r>
          </w:p>
        </w:tc>
        <w:tc>
          <w:tcPr/>
          <w:p>
            <w:pPr>
              <w:pStyle w:val="Compact"/>
            </w:pPr>
            <w:r>
              <w:rPr>
                <w:rFonts w:hint="eastAsia"/>
              </w:rPr>
              <w:t xml:space="preserve">[金額]円</w:t>
            </w:r>
          </w:p>
        </w:tc>
      </w:tr>
      <w:tr>
        <w:tc>
          <w:tcPr/>
          <w:p>
            <w:pPr>
              <w:pStyle w:val="Compact"/>
            </w:pPr>
            <w:r>
              <w:t xml:space="preserve">3</w:t>
            </w:r>
          </w:p>
        </w:tc>
        <w:tc>
          <w:tcPr/>
          <w:p>
            <w:pPr>
              <w:pStyle w:val="Compact"/>
            </w:pPr>
            <w:r>
              <w:rPr>
                <w:rFonts w:hint="eastAsia"/>
              </w:rPr>
              <w:t xml:space="preserve">[躯体工事]</w:t>
            </w:r>
          </w:p>
        </w:tc>
        <w:tc>
          <w:tcPr/>
          <w:p>
            <w:pPr>
              <w:pStyle w:val="Compact"/>
            </w:pPr>
            <w:r>
              <w:t xml:space="preserve">[○○]</w:t>
            </w:r>
          </w:p>
        </w:tc>
        <w:tc>
          <w:tcPr/>
          <w:p>
            <w:pPr>
              <w:pStyle w:val="Compact"/>
            </w:pPr>
            <w:r>
              <w:rPr>
                <w:rFonts w:hint="eastAsia"/>
              </w:rPr>
              <w:t xml:space="preserve">[金額]円</w:t>
            </w:r>
          </w:p>
        </w:tc>
        <w:tc>
          <w:tcPr/>
          <w:p>
            <w:pPr>
              <w:pStyle w:val="Compact"/>
            </w:pPr>
            <w:r>
              <w:rPr>
                <w:rFonts w:hint="eastAsia"/>
              </w:rPr>
              <w:t xml:space="preserve">[金額]円</w:t>
            </w:r>
          </w:p>
        </w:tc>
      </w:tr>
      <w:tr>
        <w:tc>
          <w:tcPr/>
          <w:p>
            <w:pPr>
              <w:pStyle w:val="Compact"/>
            </w:pPr>
            <w:r>
              <w:t xml:space="preserve">4</w:t>
            </w:r>
          </w:p>
        </w:tc>
        <w:tc>
          <w:tcPr/>
          <w:p>
            <w:pPr>
              <w:pStyle w:val="Compact"/>
            </w:pPr>
            <w:r>
              <w:rPr>
                <w:rFonts w:hint="eastAsia"/>
              </w:rPr>
              <w:t xml:space="preserve">[外装工事]</w:t>
            </w:r>
          </w:p>
        </w:tc>
        <w:tc>
          <w:tcPr/>
          <w:p>
            <w:pPr>
              <w:pStyle w:val="Compact"/>
            </w:pPr>
            <w:r>
              <w:t xml:space="preserve">[○○]</w:t>
            </w:r>
          </w:p>
        </w:tc>
        <w:tc>
          <w:tcPr/>
          <w:p>
            <w:pPr>
              <w:pStyle w:val="Compact"/>
            </w:pPr>
            <w:r>
              <w:rPr>
                <w:rFonts w:hint="eastAsia"/>
              </w:rPr>
              <w:t xml:space="preserve">[金額]円</w:t>
            </w:r>
          </w:p>
        </w:tc>
        <w:tc>
          <w:tcPr/>
          <w:p>
            <w:pPr>
              <w:pStyle w:val="Compact"/>
            </w:pPr>
            <w:r>
              <w:rPr>
                <w:rFonts w:hint="eastAsia"/>
              </w:rPr>
              <w:t xml:space="preserve">[金額]円</w:t>
            </w:r>
          </w:p>
        </w:tc>
      </w:tr>
      <w:tr>
        <w:tc>
          <w:tcPr/>
          <w:p>
            <w:pPr>
              <w:pStyle w:val="Compact"/>
            </w:pPr>
            <w:r>
              <w:t xml:space="preserve">5</w:t>
            </w:r>
          </w:p>
        </w:tc>
        <w:tc>
          <w:tcPr/>
          <w:p>
            <w:pPr>
              <w:pStyle w:val="Compact"/>
            </w:pPr>
            <w:r>
              <w:rPr>
                <w:rFonts w:hint="eastAsia"/>
              </w:rPr>
              <w:t xml:space="preserve">[内装工事]</w:t>
            </w:r>
          </w:p>
        </w:tc>
        <w:tc>
          <w:tcPr/>
          <w:p>
            <w:pPr>
              <w:pStyle w:val="Compact"/>
            </w:pPr>
            <w:r>
              <w:t xml:space="preserve">[○○]</w:t>
            </w:r>
          </w:p>
        </w:tc>
        <w:tc>
          <w:tcPr/>
          <w:p>
            <w:pPr>
              <w:pStyle w:val="Compact"/>
            </w:pPr>
            <w:r>
              <w:rPr>
                <w:rFonts w:hint="eastAsia"/>
              </w:rPr>
              <w:t xml:space="preserve">[金額]円</w:t>
            </w:r>
          </w:p>
        </w:tc>
        <w:tc>
          <w:tcPr/>
          <w:p>
            <w:pPr>
              <w:pStyle w:val="Compact"/>
            </w:pPr>
            <w:r>
              <w:rPr>
                <w:rFonts w:hint="eastAsia"/>
              </w:rPr>
              <w:t xml:space="preserve">[金額]円</w:t>
            </w:r>
          </w:p>
        </w:tc>
      </w:tr>
      <w:tr>
        <w:tc>
          <w:tcPr/>
          <w:p>
            <w:pPr>
              <w:pStyle w:val="Compact"/>
            </w:pPr>
            <w:r>
              <w:t xml:space="preserve">6</w:t>
            </w:r>
          </w:p>
        </w:tc>
        <w:tc>
          <w:tcPr/>
          <w:p>
            <w:pPr>
              <w:pStyle w:val="Compact"/>
            </w:pPr>
            <w:r>
              <w:rPr>
                <w:rFonts w:hint="eastAsia"/>
              </w:rPr>
              <w:t xml:space="preserve">[設備工事]</w:t>
            </w:r>
          </w:p>
        </w:tc>
        <w:tc>
          <w:tcPr/>
          <w:p>
            <w:pPr>
              <w:pStyle w:val="Compact"/>
            </w:pPr>
            <w:r>
              <w:t xml:space="preserve">[○○]</w:t>
            </w:r>
          </w:p>
        </w:tc>
        <w:tc>
          <w:tcPr/>
          <w:p>
            <w:pPr>
              <w:pStyle w:val="Compact"/>
            </w:pPr>
            <w:r>
              <w:rPr>
                <w:rFonts w:hint="eastAsia"/>
              </w:rPr>
              <w:t xml:space="preserve">[金額]円</w:t>
            </w:r>
          </w:p>
        </w:tc>
        <w:tc>
          <w:tcPr/>
          <w:p>
            <w:pPr>
              <w:pStyle w:val="Compact"/>
            </w:pPr>
            <w:r>
              <w:rPr>
                <w:rFonts w:hint="eastAsia"/>
              </w:rPr>
              <w:t xml:space="preserve">[金額]円</w:t>
            </w:r>
          </w:p>
        </w:tc>
      </w:tr>
      <w:tr>
        <w:tc>
          <w:tcPr/>
          <w:p>
            <w:pPr>
              <w:pStyle w:val="Compact"/>
            </w:pPr>
            <w:r>
              <w:t xml:space="preserve">7</w:t>
            </w:r>
          </w:p>
        </w:tc>
        <w:tc>
          <w:tcPr/>
          <w:p>
            <w:pPr>
              <w:pStyle w:val="Compact"/>
            </w:pPr>
            <w:r>
              <w:rPr>
                <w:rFonts w:hint="eastAsia"/>
              </w:rPr>
              <w:t xml:space="preserve">[諸経費]</w:t>
            </w:r>
          </w:p>
        </w:tc>
        <w:tc>
          <w:tcPr/>
          <w:p>
            <w:pPr>
              <w:pStyle w:val="Compact"/>
            </w:pPr>
            <w:r>
              <w:t xml:space="preserve">[○○]</w:t>
            </w:r>
          </w:p>
        </w:tc>
        <w:tc>
          <w:tcPr/>
          <w:p>
            <w:pPr>
              <w:pStyle w:val="Compact"/>
            </w:pPr>
            <w:r>
              <w:rPr>
                <w:rFonts w:hint="eastAsia"/>
              </w:rPr>
              <w:t xml:space="preserve">[金額]円</w:t>
            </w:r>
          </w:p>
        </w:tc>
        <w:tc>
          <w:tcPr/>
          <w:p>
            <w:pPr>
              <w:pStyle w:val="Compact"/>
            </w:pPr>
            <w:r>
              <w:rPr>
                <w:rFonts w:hint="eastAsia"/>
              </w:rPr>
              <w:t xml:space="preserve">[金額]円</w:t>
            </w:r>
          </w:p>
        </w:tc>
      </w:tr>
      <w:tr>
        <w:tc>
          <w:tcPr/>
          <w:p>
            <w:pPr>
              <w:pStyle w:val="Compact"/>
            </w:pPr>
          </w:p>
        </w:tc>
        <w:tc>
          <w:tcPr/>
          <w:p>
            <w:pPr>
              <w:pStyle w:val="Compact"/>
            </w:pPr>
            <w:r>
              <w:rPr>
                <w:rFonts w:hint="eastAsia"/>
                <w:b/>
                <w:bCs/>
              </w:rPr>
              <w:t xml:space="preserve">小計(税抜)</w:t>
            </w:r>
          </w:p>
        </w:tc>
        <w:tc>
          <w:tcPr/>
          <w:p>
            <w:pPr>
              <w:pStyle w:val="Compact"/>
            </w:pPr>
          </w:p>
        </w:tc>
        <w:tc>
          <w:tcPr/>
          <w:p>
            <w:pPr>
              <w:pStyle w:val="Compact"/>
            </w:pPr>
          </w:p>
        </w:tc>
        <w:tc>
          <w:tcPr/>
          <w:p>
            <w:pPr>
              <w:pStyle w:val="Compact"/>
            </w:pPr>
            <w:r>
              <w:rPr>
                <w:rFonts w:hint="eastAsia"/>
                <w:b/>
                <w:bCs/>
              </w:rPr>
              <w:t xml:space="preserve">[金額]円</w:t>
            </w:r>
          </w:p>
        </w:tc>
      </w:tr>
      <w:tr>
        <w:tc>
          <w:tcPr/>
          <w:p>
            <w:pPr>
              <w:pStyle w:val="Compact"/>
            </w:pPr>
          </w:p>
        </w:tc>
        <w:tc>
          <w:tcPr/>
          <w:p>
            <w:pPr>
              <w:pStyle w:val="Compact"/>
            </w:pPr>
            <w:r>
              <w:rPr>
                <w:rFonts w:hint="eastAsia"/>
                <w:b/>
                <w:bCs/>
              </w:rPr>
              <w:t xml:space="preserve">消費税</w:t>
            </w:r>
          </w:p>
        </w:tc>
        <w:tc>
          <w:tcPr/>
          <w:p>
            <w:pPr>
              <w:pStyle w:val="Compact"/>
            </w:pPr>
          </w:p>
        </w:tc>
        <w:tc>
          <w:tcPr/>
          <w:p>
            <w:pPr>
              <w:pStyle w:val="Compact"/>
            </w:pPr>
          </w:p>
        </w:tc>
        <w:tc>
          <w:tcPr/>
          <w:p>
            <w:pPr>
              <w:pStyle w:val="Compact"/>
            </w:pPr>
            <w:r>
              <w:rPr>
                <w:rFonts w:hint="eastAsia"/>
                <w:b/>
                <w:bCs/>
              </w:rPr>
              <w:t xml:space="preserve">[金額]円</w:t>
            </w:r>
          </w:p>
        </w:tc>
      </w:tr>
      <w:tr>
        <w:tc>
          <w:tcPr/>
          <w:p>
            <w:pPr>
              <w:pStyle w:val="Compact"/>
            </w:pPr>
          </w:p>
        </w:tc>
        <w:tc>
          <w:tcPr/>
          <w:p>
            <w:pPr>
              <w:pStyle w:val="Compact"/>
            </w:pPr>
            <w:r>
              <w:rPr>
                <w:rFonts w:hint="eastAsia"/>
                <w:b/>
                <w:bCs/>
              </w:rPr>
              <w:t xml:space="preserve">合計(税込)</w:t>
            </w:r>
          </w:p>
        </w:tc>
        <w:tc>
          <w:tcPr/>
          <w:p>
            <w:pPr>
              <w:pStyle w:val="Compact"/>
            </w:pPr>
          </w:p>
        </w:tc>
        <w:tc>
          <w:tcPr/>
          <w:p>
            <w:pPr>
              <w:pStyle w:val="Compact"/>
            </w:pPr>
          </w:p>
        </w:tc>
        <w:tc>
          <w:tcPr/>
          <w:p>
            <w:pPr>
              <w:pStyle w:val="Compact"/>
            </w:pPr>
            <w:r>
              <w:rPr>
                <w:rFonts w:hint="eastAsia"/>
                <w:b/>
                <w:bCs/>
              </w:rPr>
              <w:t xml:space="preserve">[金額]円</w:t>
            </w:r>
          </w:p>
        </w:tc>
      </w:tr>
    </w:tbl>
    <w:p>
      <w:r>
        <w:pict>
          <v:rect style="width:0;height:1.5pt" o:hralign="center" o:hrstd="t" o:hr="t"/>
        </w:pict>
      </w:r>
    </w:p>
    <w:bookmarkEnd w:id="33"/>
    <w:bookmarkStart w:id="37" w:name="別紙出来高査定基準雛形"/>
    <w:p>
      <w:pPr>
        <w:pStyle w:val="Heading2"/>
      </w:pPr>
      <w:r>
        <w:rPr>
          <w:rFonts w:hint="eastAsia"/>
        </w:rPr>
        <w:t xml:space="preserve">別紙「出来高査定基準」(雛形)</w:t>
      </w:r>
    </w:p>
    <w:p>
      <w:pPr>
        <w:pStyle w:val="FirstParagraph"/>
      </w:pPr>
      <w:r>
        <w:rPr>
          <w:rFonts w:hint="eastAsia"/>
        </w:rPr>
        <w:t xml:space="preserve">第5条第3項に基づく出来高の査定方法は、次のとおりとする。</w:t>
      </w:r>
    </w:p>
    <w:bookmarkStart w:id="34" w:name="査定方法"/>
    <w:p>
      <w:pPr>
        <w:pStyle w:val="Heading3"/>
      </w:pPr>
      <w:r>
        <w:t xml:space="preserve">1. </w:t>
      </w:r>
      <w:r>
        <w:rPr>
          <w:rFonts w:hint="eastAsia"/>
        </w:rPr>
        <w:t xml:space="preserve">査定方法</w:t>
      </w:r>
    </w:p>
    <w:p>
      <w:pPr>
        <w:pStyle w:val="FirstParagraph"/>
      </w:pPr>
      <w:r>
        <w:rPr>
          <w:rFonts w:hint="eastAsia"/>
        </w:rPr>
        <w:t xml:space="preserve">[進捗率方式/マイルストーン方式/査定立会方式]</w:t>
      </w:r>
    </w:p>
    <w:bookmarkEnd w:id="34"/>
    <w:bookmarkStart w:id="35" w:name="査定タイミング"/>
    <w:p>
      <w:pPr>
        <w:pStyle w:val="Heading3"/>
      </w:pPr>
      <w:r>
        <w:t xml:space="preserve">2. </w:t>
      </w:r>
      <w:r>
        <w:rPr>
          <w:rFonts w:hint="eastAsia"/>
        </w:rPr>
        <w:t xml:space="preserve">査定タイミング</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rFonts w:hint="eastAsia"/>
              </w:rPr>
              <w:t xml:space="preserve">査定回</w:t>
            </w:r>
          </w:p>
        </w:tc>
        <w:tc>
          <w:tcPr/>
          <w:p>
            <w:pPr>
              <w:pStyle w:val="Compact"/>
            </w:pPr>
            <w:r>
              <w:rPr>
                <w:rFonts w:hint="eastAsia"/>
              </w:rPr>
              <w:t xml:space="preserve">査定時期</w:t>
            </w:r>
          </w:p>
        </w:tc>
        <w:tc>
          <w:tcPr/>
          <w:p>
            <w:pPr>
              <w:pStyle w:val="Compact"/>
            </w:pPr>
            <w:r>
              <w:rPr>
                <w:rFonts w:hint="eastAsia"/>
              </w:rPr>
              <w:t xml:space="preserve">想定出来高</w:t>
            </w:r>
          </w:p>
        </w:tc>
      </w:tr>
      <w:tr>
        <w:tc>
          <w:tcPr/>
          <w:p>
            <w:pPr>
              <w:pStyle w:val="Compact"/>
            </w:pPr>
            <w:r>
              <w:rPr>
                <w:rFonts w:hint="eastAsia"/>
              </w:rPr>
              <w:t xml:space="preserve">第1回</w:t>
            </w:r>
          </w:p>
        </w:tc>
        <w:tc>
          <w:tcPr/>
          <w:p>
            <w:pPr>
              <w:pStyle w:val="Compact"/>
            </w:pPr>
            <w:r>
              <w:rPr>
                <w:rFonts w:hint="eastAsia"/>
              </w:rPr>
              <w:t xml:space="preserve">[○○工事完了時]</w:t>
            </w:r>
          </w:p>
        </w:tc>
        <w:tc>
          <w:tcPr/>
          <w:p>
            <w:pPr>
              <w:pStyle w:val="Compact"/>
            </w:pPr>
            <w:r>
              <w:t xml:space="preserve">[○○]%</w:t>
            </w:r>
          </w:p>
        </w:tc>
      </w:tr>
      <w:tr>
        <w:tc>
          <w:tcPr/>
          <w:p>
            <w:pPr>
              <w:pStyle w:val="Compact"/>
            </w:pPr>
            <w:r>
              <w:rPr>
                <w:rFonts w:hint="eastAsia"/>
              </w:rPr>
              <w:t xml:space="preserve">第2回</w:t>
            </w:r>
          </w:p>
        </w:tc>
        <w:tc>
          <w:tcPr/>
          <w:p>
            <w:pPr>
              <w:pStyle w:val="Compact"/>
            </w:pPr>
            <w:r>
              <w:rPr>
                <w:rFonts w:hint="eastAsia"/>
              </w:rPr>
              <w:t xml:space="preserve">[○○工事完了時]</w:t>
            </w:r>
          </w:p>
        </w:tc>
        <w:tc>
          <w:tcPr/>
          <w:p>
            <w:pPr>
              <w:pStyle w:val="Compact"/>
            </w:pPr>
            <w:r>
              <w:t xml:space="preserve">[○○]%</w:t>
            </w:r>
          </w:p>
        </w:tc>
      </w:tr>
      <w:tr>
        <w:tc>
          <w:tcPr/>
          <w:p>
            <w:pPr>
              <w:pStyle w:val="Compact"/>
            </w:pPr>
            <w:r>
              <w:rPr>
                <w:rFonts w:hint="eastAsia"/>
              </w:rPr>
              <w:t xml:space="preserve">第3回</w:t>
            </w:r>
          </w:p>
        </w:tc>
        <w:tc>
          <w:tcPr/>
          <w:p>
            <w:pPr>
              <w:pStyle w:val="Compact"/>
            </w:pPr>
            <w:r>
              <w:rPr>
                <w:rFonts w:hint="eastAsia"/>
              </w:rPr>
              <w:t xml:space="preserve">[完成検査時]</w:t>
            </w:r>
          </w:p>
        </w:tc>
        <w:tc>
          <w:tcPr/>
          <w:p>
            <w:pPr>
              <w:pStyle w:val="Compact"/>
            </w:pPr>
            <w:r>
              <w:t xml:space="preserve">100%</w:t>
            </w:r>
          </w:p>
        </w:tc>
      </w:tr>
    </w:tbl>
    <w:bookmarkEnd w:id="35"/>
    <w:bookmarkStart w:id="36" w:name="査定手順"/>
    <w:p>
      <w:pPr>
        <w:pStyle w:val="Heading3"/>
      </w:pPr>
      <w:r>
        <w:t xml:space="preserve">3. </w:t>
      </w:r>
      <w:r>
        <w:rPr>
          <w:rFonts w:hint="eastAsia"/>
        </w:rPr>
        <w:t xml:space="preserve">査定手順</w:t>
      </w:r>
    </w:p>
    <w:p>
      <w:pPr>
        <w:pStyle w:val="Compact"/>
        <w:numPr>
          <w:ilvl w:val="0"/>
          <w:numId w:val="1037"/>
        </w:numPr>
      </w:pPr>
      <w:r>
        <w:rPr>
          <w:rFonts w:hint="eastAsia"/>
        </w:rPr>
        <w:t xml:space="preserve">乙は、査定日の[7]日前までに、甲に対し出来高査定の依頼を行う。</w:t>
      </w:r>
    </w:p>
    <w:p>
      <w:pPr>
        <w:pStyle w:val="Compact"/>
        <w:numPr>
          <w:ilvl w:val="0"/>
          <w:numId w:val="1037"/>
        </w:numPr>
      </w:pPr>
      <w:r>
        <w:rPr>
          <w:rFonts w:hint="eastAsia"/>
        </w:rPr>
        <w:t xml:space="preserve">甲乙は、査定日に現場立会の上、別紙「内訳書」に基づき出来高を確認する。</w:t>
      </w:r>
    </w:p>
    <w:p>
      <w:pPr>
        <w:pStyle w:val="Compact"/>
        <w:numPr>
          <w:ilvl w:val="0"/>
          <w:numId w:val="1037"/>
        </w:numPr>
      </w:pPr>
      <w:r>
        <w:rPr>
          <w:rFonts w:hint="eastAsia"/>
        </w:rPr>
        <w:t xml:space="preserve">甲は、出来高確認後[7]営業日以内に、出来高査定結果を乙に通知する。</w:t>
      </w:r>
    </w:p>
    <w:p>
      <w:r>
        <w:pict>
          <v:rect style="width:0;height:1.5pt" o:hralign="center" o:hrstd="t" o:hr="t"/>
        </w:pict>
      </w:r>
    </w:p>
    <w:bookmarkEnd w:id="36"/>
    <w:bookmarkEnd w:id="37"/>
    <w:bookmarkStart w:id="40" w:name="別紙支給材貸与機械リスト雛形"/>
    <w:p>
      <w:pPr>
        <w:pStyle w:val="Heading2"/>
      </w:pPr>
      <w:r>
        <w:rPr>
          <w:rFonts w:hint="eastAsia"/>
        </w:rPr>
        <w:t xml:space="preserve">別紙「支給材・貸与機械リスト」(雛形)</w:t>
      </w:r>
    </w:p>
    <w:p>
      <w:pPr>
        <w:pStyle w:val="FirstParagraph"/>
      </w:pPr>
      <w:r>
        <w:rPr>
          <w:rFonts w:hint="eastAsia"/>
        </w:rPr>
        <w:t xml:space="preserve">第10条に基づき、甲が乙に支給する資材および貸与する機械は、次のとおりとする。</w:t>
      </w:r>
    </w:p>
    <w:bookmarkStart w:id="38" w:name="支給材"/>
    <w:p>
      <w:pPr>
        <w:pStyle w:val="Heading3"/>
      </w:pPr>
      <w:r>
        <w:rPr>
          <w:rFonts w:hint="eastAsia"/>
        </w:rPr>
        <w:t xml:space="preserve">支給材</w:t>
      </w:r>
    </w:p>
    <w:tbl>
      <w:tblPr>
        <w:tblStyle w:val="Table"/>
        <w:tblW w:type="auto" w:w="0"/>
        <w:tblLook w:firstRow="1" w:lastRow="0" w:firstColumn="0" w:lastColumn="0" w:noHBand="0" w:noVBand="0" w:val="0020"/>
      </w:tblPr>
      <w:tblGrid>
        <w:gridCol w:w="1131"/>
        <w:gridCol w:w="1131"/>
        <w:gridCol w:w="1131"/>
        <w:gridCol w:w="1131"/>
        <w:gridCol w:w="1131"/>
        <w:gridCol w:w="1131"/>
        <w:gridCol w:w="1131"/>
      </w:tblGrid>
      <w:tr>
        <w:trPr>
          <w:tblHeader w:val="on"/>
        </w:trPr>
        <w:tc>
          <w:tcPr/>
          <w:p>
            <w:pPr>
              <w:pStyle w:val="Compact"/>
            </w:pPr>
            <w:r>
              <w:t xml:space="preserve">No</w:t>
            </w:r>
          </w:p>
        </w:tc>
        <w:tc>
          <w:tcPr/>
          <w:p>
            <w:pPr>
              <w:pStyle w:val="Compact"/>
            </w:pPr>
            <w:r>
              <w:rPr>
                <w:rFonts w:hint="eastAsia"/>
              </w:rPr>
              <w:t xml:space="preserve">品名</w:t>
            </w:r>
          </w:p>
        </w:tc>
        <w:tc>
          <w:tcPr/>
          <w:p>
            <w:pPr>
              <w:pStyle w:val="Compact"/>
            </w:pPr>
            <w:r>
              <w:rPr>
                <w:rFonts w:hint="eastAsia"/>
              </w:rPr>
              <w:t xml:space="preserve">規格</w:t>
            </w:r>
          </w:p>
        </w:tc>
        <w:tc>
          <w:tcPr/>
          <w:p>
            <w:pPr>
              <w:pStyle w:val="Compact"/>
            </w:pPr>
            <w:r>
              <w:rPr>
                <w:rFonts w:hint="eastAsia"/>
              </w:rPr>
              <w:t xml:space="preserve">数量</w:t>
            </w:r>
          </w:p>
        </w:tc>
        <w:tc>
          <w:tcPr/>
          <w:p>
            <w:pPr>
              <w:pStyle w:val="Compact"/>
            </w:pPr>
            <w:r>
              <w:rPr>
                <w:rFonts w:hint="eastAsia"/>
              </w:rPr>
              <w:t xml:space="preserve">単価(参考)</w:t>
            </w:r>
          </w:p>
        </w:tc>
        <w:tc>
          <w:tcPr/>
          <w:p>
            <w:pPr>
              <w:pStyle w:val="Compact"/>
            </w:pPr>
            <w:r>
              <w:rPr>
                <w:rFonts w:hint="eastAsia"/>
              </w:rPr>
              <w:t xml:space="preserve">引渡期日</w:t>
            </w:r>
          </w:p>
        </w:tc>
        <w:tc>
          <w:tcPr/>
          <w:p>
            <w:pPr>
              <w:pStyle w:val="Compact"/>
            </w:pPr>
            <w:r>
              <w:rPr>
                <w:rFonts w:hint="eastAsia"/>
              </w:rPr>
              <w:t xml:space="preserve">残材の取扱い</w:t>
            </w:r>
          </w:p>
        </w:tc>
      </w:tr>
      <w:tr>
        <w:tc>
          <w:tcPr/>
          <w:p>
            <w:pPr>
              <w:pStyle w:val="Compact"/>
            </w:pPr>
            <w:r>
              <w:t xml:space="preserve">1</w:t>
            </w:r>
          </w:p>
        </w:tc>
        <w:tc>
          <w:tcPr/>
          <w:p>
            <w:pPr>
              <w:pStyle w:val="Compact"/>
            </w:pPr>
            <w:r>
              <w:rPr>
                <w:rFonts w:hint="eastAsia"/>
              </w:rPr>
              <w:t xml:space="preserve">[品名]</w:t>
            </w:r>
          </w:p>
        </w:tc>
        <w:tc>
          <w:tcPr/>
          <w:p>
            <w:pPr>
              <w:pStyle w:val="Compact"/>
            </w:pPr>
            <w:r>
              <w:rPr>
                <w:rFonts w:hint="eastAsia"/>
              </w:rPr>
              <w:t xml:space="preserve">[規格]</w:t>
            </w:r>
          </w:p>
        </w:tc>
        <w:tc>
          <w:tcPr/>
          <w:p>
            <w:pPr>
              <w:pStyle w:val="Compact"/>
            </w:pPr>
            <w:r>
              <w:t xml:space="preserve">[○○]</w:t>
            </w:r>
          </w:p>
        </w:tc>
        <w:tc>
          <w:tcPr/>
          <w:p>
            <w:pPr>
              <w:pStyle w:val="Compact"/>
            </w:pPr>
            <w:r>
              <w:rPr>
                <w:rFonts w:hint="eastAsia"/>
              </w:rPr>
              <w:t xml:space="preserve">[金額]円</w:t>
            </w:r>
          </w:p>
        </w:tc>
        <w:tc>
          <w:tcPr/>
          <w:p>
            <w:pPr>
              <w:pStyle w:val="Compact"/>
            </w:pPr>
            <w:r>
              <w:rPr>
                <w:rFonts w:hint="eastAsia"/>
              </w:rPr>
              <w:t xml:space="preserve">[日付]</w:t>
            </w:r>
          </w:p>
        </w:tc>
        <w:tc>
          <w:tcPr/>
          <w:p>
            <w:pPr>
              <w:pStyle w:val="Compact"/>
            </w:pPr>
            <w:r>
              <w:rPr>
                <w:rFonts w:hint="eastAsia"/>
              </w:rPr>
              <w:t xml:space="preserve">[返還/譲渡]</w:t>
            </w:r>
          </w:p>
        </w:tc>
      </w:tr>
    </w:tbl>
    <w:bookmarkEnd w:id="38"/>
    <w:bookmarkStart w:id="39" w:name="貸与機械"/>
    <w:p>
      <w:pPr>
        <w:pStyle w:val="Heading3"/>
      </w:pPr>
      <w:r>
        <w:rPr>
          <w:rFonts w:hint="eastAsia"/>
        </w:rPr>
        <w:t xml:space="preserve">貸与機械</w:t>
      </w:r>
    </w:p>
    <w:tbl>
      <w:tblPr>
        <w:tblStyle w:val="Table"/>
        <w:tblW w:type="auto" w:w="0"/>
        <w:tblLook w:firstRow="1" w:lastRow="0" w:firstColumn="0" w:lastColumn="0" w:noHBand="0" w:noVBand="0" w:val="0020"/>
      </w:tblPr>
      <w:tblGrid>
        <w:gridCol w:w="1320"/>
        <w:gridCol w:w="1320"/>
        <w:gridCol w:w="1320"/>
        <w:gridCol w:w="1320"/>
        <w:gridCol w:w="1320"/>
        <w:gridCol w:w="1320"/>
      </w:tblGrid>
      <w:tr>
        <w:trPr>
          <w:tblHeader w:val="on"/>
        </w:trPr>
        <w:tc>
          <w:tcPr/>
          <w:p>
            <w:pPr>
              <w:pStyle w:val="Compact"/>
            </w:pPr>
            <w:r>
              <w:t xml:space="preserve">No</w:t>
            </w:r>
          </w:p>
        </w:tc>
        <w:tc>
          <w:tcPr/>
          <w:p>
            <w:pPr>
              <w:pStyle w:val="Compact"/>
            </w:pPr>
            <w:r>
              <w:rPr>
                <w:rFonts w:hint="eastAsia"/>
              </w:rPr>
              <w:t xml:space="preserve">機械名</w:t>
            </w:r>
          </w:p>
        </w:tc>
        <w:tc>
          <w:tcPr/>
          <w:p>
            <w:pPr>
              <w:pStyle w:val="Compact"/>
            </w:pPr>
            <w:r>
              <w:rPr>
                <w:rFonts w:hint="eastAsia"/>
              </w:rPr>
              <w:t xml:space="preserve">型式</w:t>
            </w:r>
          </w:p>
        </w:tc>
        <w:tc>
          <w:tcPr/>
          <w:p>
            <w:pPr>
              <w:pStyle w:val="Compact"/>
            </w:pPr>
            <w:r>
              <w:rPr>
                <w:rFonts w:hint="eastAsia"/>
              </w:rPr>
              <w:t xml:space="preserve">貸与期間</w:t>
            </w:r>
          </w:p>
        </w:tc>
        <w:tc>
          <w:tcPr/>
          <w:p>
            <w:pPr>
              <w:pStyle w:val="Compact"/>
            </w:pPr>
            <w:r>
              <w:rPr>
                <w:rFonts w:hint="eastAsia"/>
              </w:rPr>
              <w:t xml:space="preserve">返還日</w:t>
            </w:r>
          </w:p>
        </w:tc>
        <w:tc>
          <w:tcPr/>
          <w:p>
            <w:pPr>
              <w:pStyle w:val="Compact"/>
            </w:pPr>
            <w:r>
              <w:rPr>
                <w:rFonts w:hint="eastAsia"/>
              </w:rPr>
              <w:t xml:space="preserve">取扱い注意事項</w:t>
            </w:r>
          </w:p>
        </w:tc>
      </w:tr>
      <w:tr>
        <w:tc>
          <w:tcPr/>
          <w:p>
            <w:pPr>
              <w:pStyle w:val="Compact"/>
            </w:pPr>
            <w:r>
              <w:t xml:space="preserve">1</w:t>
            </w:r>
          </w:p>
        </w:tc>
        <w:tc>
          <w:tcPr/>
          <w:p>
            <w:pPr>
              <w:pStyle w:val="Compact"/>
            </w:pPr>
            <w:r>
              <w:rPr>
                <w:rFonts w:hint="eastAsia"/>
              </w:rPr>
              <w:t xml:space="preserve">[機械名]</w:t>
            </w:r>
          </w:p>
        </w:tc>
        <w:tc>
          <w:tcPr/>
          <w:p>
            <w:pPr>
              <w:pStyle w:val="Compact"/>
            </w:pPr>
            <w:r>
              <w:rPr>
                <w:rFonts w:hint="eastAsia"/>
              </w:rPr>
              <w:t xml:space="preserve">[型式]</w:t>
            </w:r>
          </w:p>
        </w:tc>
        <w:tc>
          <w:tcPr/>
          <w:p>
            <w:pPr>
              <w:pStyle w:val="Compact"/>
            </w:pPr>
            <w:r>
              <w:rPr>
                <w:rFonts w:hint="eastAsia"/>
              </w:rPr>
              <w:t xml:space="preserve">[期間]</w:t>
            </w:r>
          </w:p>
        </w:tc>
        <w:tc>
          <w:tcPr/>
          <w:p>
            <w:pPr>
              <w:pStyle w:val="Compact"/>
            </w:pPr>
            <w:r>
              <w:rPr>
                <w:rFonts w:hint="eastAsia"/>
              </w:rPr>
              <w:t xml:space="preserve">[日付]</w:t>
            </w:r>
          </w:p>
        </w:tc>
        <w:tc>
          <w:tcPr/>
          <w:p>
            <w:pPr>
              <w:pStyle w:val="Compact"/>
            </w:pPr>
            <w:r>
              <w:rPr>
                <w:rFonts w:hint="eastAsia"/>
              </w:rPr>
              <w:t xml:space="preserve">[注意事項]</w:t>
            </w:r>
          </w:p>
        </w:tc>
      </w:tr>
    </w:tbl>
    <w:p>
      <w:r>
        <w:pict>
          <v:rect style="width:0;height:1.5pt" o:hralign="center" o:hrstd="t" o:hr="t"/>
        </w:pict>
      </w:r>
    </w:p>
    <w:bookmarkEnd w:id="39"/>
    <w:bookmarkEnd w:id="40"/>
    <w:bookmarkStart w:id="44" w:name="印紙税に関する注記"/>
    <w:p>
      <w:pPr>
        <w:pStyle w:val="Heading2"/>
      </w:pPr>
      <w:r>
        <w:rPr>
          <w:rFonts w:hint="eastAsia"/>
        </w:rPr>
        <w:t xml:space="preserve">印紙税に関する注記</w:t>
      </w:r>
    </w:p>
    <w:bookmarkStart w:id="41" w:name="紙の契約書として締結する場合"/>
    <w:p>
      <w:pPr>
        <w:pStyle w:val="Heading3"/>
      </w:pPr>
      <w:r>
        <w:rPr>
          <w:rFonts w:hint="eastAsia"/>
        </w:rPr>
        <w:t xml:space="preserve">紙の契約書として締結する場合</w:t>
      </w:r>
    </w:p>
    <w:p>
      <w:pPr>
        <w:pStyle w:val="FirstParagraph"/>
      </w:pPr>
      <w:r>
        <w:rPr>
          <w:rFonts w:hint="eastAsia"/>
        </w:rPr>
        <w:t xml:space="preserve">工事請負契約書は、</w:t>
      </w:r>
      <w:r>
        <w:rPr>
          <w:rFonts w:hint="eastAsia"/>
          <w:b/>
          <w:bCs/>
        </w:rPr>
        <w:t xml:space="preserve">印紙税法別表第一第2号文書(請負に関する契約書)</w:t>
      </w:r>
      <w:r>
        <w:rPr>
          <w:rFonts w:hint="eastAsia"/>
        </w:rPr>
        <w:t xml:space="preserve">として印紙税の課税対象となります。</w:t>
      </w:r>
    </w:p>
    <w:p>
      <w:pPr>
        <w:pStyle w:val="BodyText"/>
      </w:pPr>
      <w:r>
        <w:rPr>
          <w:rFonts w:hint="eastAsia"/>
          <w:b/>
          <w:bCs/>
        </w:rPr>
        <w:t xml:space="preserve">建設業法第2条第1項に規定する建設工事の請負契約書</w:t>
      </w:r>
      <w:r>
        <w:rPr>
          <w:rFonts w:hint="eastAsia"/>
        </w:rPr>
        <w:t xml:space="preserve">については、租税特別措置法により</w:t>
      </w:r>
      <w:r>
        <w:rPr>
          <w:rFonts w:hint="eastAsia"/>
          <w:b/>
          <w:bCs/>
        </w:rPr>
        <w:t xml:space="preserve">軽減税率</w:t>
      </w:r>
      <w:r>
        <w:rPr>
          <w:rFonts w:hint="eastAsia"/>
        </w:rPr>
        <w:t xml:space="preserve">が適用されます(2027年3月31日まで)。</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rFonts w:hint="eastAsia"/>
              </w:rPr>
              <w:t xml:space="preserve">契約金額</w:t>
            </w:r>
          </w:p>
        </w:tc>
        <w:tc>
          <w:tcPr/>
          <w:p>
            <w:pPr>
              <w:pStyle w:val="Compact"/>
            </w:pPr>
            <w:r>
              <w:rPr>
                <w:rFonts w:hint="eastAsia"/>
              </w:rPr>
              <w:t xml:space="preserve">印紙税額(本則)</w:t>
            </w:r>
          </w:p>
        </w:tc>
        <w:tc>
          <w:tcPr/>
          <w:p>
            <w:pPr>
              <w:pStyle w:val="Compact"/>
            </w:pPr>
            <w:r>
              <w:rPr>
                <w:rFonts w:hint="eastAsia"/>
              </w:rPr>
              <w:t xml:space="preserve">印紙税額(軽減税率・2027年3月31日まで)</w:t>
            </w:r>
          </w:p>
        </w:tc>
      </w:tr>
      <w:tr>
        <w:tc>
          <w:tcPr/>
          <w:p>
            <w:pPr>
              <w:pStyle w:val="Compact"/>
            </w:pPr>
            <w:r>
              <w:rPr>
                <w:rFonts w:hint="eastAsia"/>
              </w:rPr>
              <w:t xml:space="preserve">1万円未満</w:t>
            </w:r>
          </w:p>
        </w:tc>
        <w:tc>
          <w:tcPr/>
          <w:p>
            <w:pPr>
              <w:pStyle w:val="Compact"/>
            </w:pPr>
            <w:r>
              <w:rPr>
                <w:rFonts w:hint="eastAsia"/>
              </w:rPr>
              <w:t xml:space="preserve">非課税</w:t>
            </w:r>
          </w:p>
        </w:tc>
        <w:tc>
          <w:tcPr/>
          <w:p>
            <w:pPr>
              <w:pStyle w:val="Compact"/>
            </w:pPr>
            <w:r>
              <w:rPr>
                <w:rFonts w:hint="eastAsia"/>
              </w:rPr>
              <w:t xml:space="preserve">非課税</w:t>
            </w:r>
          </w:p>
        </w:tc>
      </w:tr>
      <w:tr>
        <w:tc>
          <w:tcPr/>
          <w:p>
            <w:pPr>
              <w:pStyle w:val="Compact"/>
            </w:pPr>
            <w:r>
              <w:rPr>
                <w:rFonts w:hint="eastAsia"/>
              </w:rPr>
              <w:t xml:space="preserve">1万円以上〜100万円以下</w:t>
            </w:r>
          </w:p>
        </w:tc>
        <w:tc>
          <w:tcPr/>
          <w:p>
            <w:pPr>
              <w:pStyle w:val="Compact"/>
            </w:pPr>
            <w:r>
              <w:rPr>
                <w:rFonts w:hint="eastAsia"/>
              </w:rPr>
              <w:t xml:space="preserve">200円</w:t>
            </w:r>
          </w:p>
        </w:tc>
        <w:tc>
          <w:tcPr/>
          <w:p>
            <w:pPr>
              <w:pStyle w:val="Compact"/>
            </w:pPr>
            <w:r>
              <w:rPr>
                <w:rFonts w:hint="eastAsia"/>
              </w:rPr>
              <w:t xml:space="preserve">200円</w:t>
            </w:r>
          </w:p>
        </w:tc>
      </w:tr>
      <w:tr>
        <w:tc>
          <w:tcPr/>
          <w:p>
            <w:pPr>
              <w:pStyle w:val="Compact"/>
            </w:pPr>
            <w:r>
              <w:rPr>
                <w:rFonts w:hint="eastAsia"/>
              </w:rPr>
              <w:t xml:space="preserve">100万円超〜200万円以下</w:t>
            </w:r>
          </w:p>
        </w:tc>
        <w:tc>
          <w:tcPr/>
          <w:p>
            <w:pPr>
              <w:pStyle w:val="Compact"/>
            </w:pPr>
            <w:r>
              <w:rPr>
                <w:rFonts w:hint="eastAsia"/>
              </w:rPr>
              <w:t xml:space="preserve">400円</w:t>
            </w:r>
          </w:p>
        </w:tc>
        <w:tc>
          <w:tcPr/>
          <w:p>
            <w:pPr>
              <w:pStyle w:val="Compact"/>
            </w:pPr>
            <w:r>
              <w:rPr>
                <w:rFonts w:hint="eastAsia"/>
              </w:rPr>
              <w:t xml:space="preserve">200円</w:t>
            </w:r>
          </w:p>
        </w:tc>
      </w:tr>
      <w:tr>
        <w:tc>
          <w:tcPr/>
          <w:p>
            <w:pPr>
              <w:pStyle w:val="Compact"/>
            </w:pPr>
            <w:r>
              <w:rPr>
                <w:rFonts w:hint="eastAsia"/>
              </w:rPr>
              <w:t xml:space="preserve">200万円超〜300万円以下</w:t>
            </w:r>
          </w:p>
        </w:tc>
        <w:tc>
          <w:tcPr/>
          <w:p>
            <w:pPr>
              <w:pStyle w:val="Compact"/>
            </w:pPr>
            <w:r>
              <w:rPr>
                <w:rFonts w:hint="eastAsia"/>
              </w:rPr>
              <w:t xml:space="preserve">1,000円</w:t>
            </w:r>
          </w:p>
        </w:tc>
        <w:tc>
          <w:tcPr/>
          <w:p>
            <w:pPr>
              <w:pStyle w:val="Compact"/>
            </w:pPr>
            <w:r>
              <w:rPr>
                <w:rFonts w:hint="eastAsia"/>
              </w:rPr>
              <w:t xml:space="preserve">500円</w:t>
            </w:r>
          </w:p>
        </w:tc>
      </w:tr>
      <w:tr>
        <w:tc>
          <w:tcPr/>
          <w:p>
            <w:pPr>
              <w:pStyle w:val="Compact"/>
            </w:pPr>
            <w:r>
              <w:rPr>
                <w:rFonts w:hint="eastAsia"/>
              </w:rPr>
              <w:t xml:space="preserve">300万円超〜500万円以下</w:t>
            </w:r>
          </w:p>
        </w:tc>
        <w:tc>
          <w:tcPr/>
          <w:p>
            <w:pPr>
              <w:pStyle w:val="Compact"/>
            </w:pPr>
            <w:r>
              <w:rPr>
                <w:rFonts w:hint="eastAsia"/>
              </w:rPr>
              <w:t xml:space="preserve">2,000円</w:t>
            </w:r>
          </w:p>
        </w:tc>
        <w:tc>
          <w:tcPr/>
          <w:p>
            <w:pPr>
              <w:pStyle w:val="Compact"/>
            </w:pPr>
            <w:r>
              <w:rPr>
                <w:rFonts w:hint="eastAsia"/>
              </w:rPr>
              <w:t xml:space="preserve">1,000円</w:t>
            </w:r>
          </w:p>
        </w:tc>
      </w:tr>
      <w:tr>
        <w:tc>
          <w:tcPr/>
          <w:p>
            <w:pPr>
              <w:pStyle w:val="Compact"/>
            </w:pPr>
            <w:r>
              <w:rPr>
                <w:rFonts w:hint="eastAsia"/>
              </w:rPr>
              <w:t xml:space="preserve">500万円超〜1,000万円以下</w:t>
            </w:r>
          </w:p>
        </w:tc>
        <w:tc>
          <w:tcPr/>
          <w:p>
            <w:pPr>
              <w:pStyle w:val="Compact"/>
            </w:pPr>
            <w:r>
              <w:rPr>
                <w:rFonts w:hint="eastAsia"/>
              </w:rPr>
              <w:t xml:space="preserve">10,000円</w:t>
            </w:r>
          </w:p>
        </w:tc>
        <w:tc>
          <w:tcPr/>
          <w:p>
            <w:pPr>
              <w:pStyle w:val="Compact"/>
            </w:pPr>
            <w:r>
              <w:rPr>
                <w:rFonts w:hint="eastAsia"/>
              </w:rPr>
              <w:t xml:space="preserve">5,000円</w:t>
            </w:r>
          </w:p>
        </w:tc>
      </w:tr>
      <w:tr>
        <w:tc>
          <w:tcPr/>
          <w:p>
            <w:pPr>
              <w:pStyle w:val="Compact"/>
            </w:pPr>
            <w:r>
              <w:rPr>
                <w:rFonts w:hint="eastAsia"/>
              </w:rPr>
              <w:t xml:space="preserve">1,000万円超〜5,000万円以下</w:t>
            </w:r>
          </w:p>
        </w:tc>
        <w:tc>
          <w:tcPr/>
          <w:p>
            <w:pPr>
              <w:pStyle w:val="Compact"/>
            </w:pPr>
            <w:r>
              <w:rPr>
                <w:rFonts w:hint="eastAsia"/>
              </w:rPr>
              <w:t xml:space="preserve">20,000円</w:t>
            </w:r>
          </w:p>
        </w:tc>
        <w:tc>
          <w:tcPr/>
          <w:p>
            <w:pPr>
              <w:pStyle w:val="Compact"/>
            </w:pPr>
            <w:r>
              <w:rPr>
                <w:rFonts w:hint="eastAsia"/>
              </w:rPr>
              <w:t xml:space="preserve">10,000円</w:t>
            </w:r>
          </w:p>
        </w:tc>
      </w:tr>
      <w:tr>
        <w:tc>
          <w:tcPr/>
          <w:p>
            <w:pPr>
              <w:pStyle w:val="Compact"/>
            </w:pPr>
            <w:r>
              <w:rPr>
                <w:rFonts w:hint="eastAsia"/>
              </w:rPr>
              <w:t xml:space="preserve">5,000万円超〜1億円以下</w:t>
            </w:r>
          </w:p>
        </w:tc>
        <w:tc>
          <w:tcPr/>
          <w:p>
            <w:pPr>
              <w:pStyle w:val="Compact"/>
            </w:pPr>
            <w:r>
              <w:rPr>
                <w:rFonts w:hint="eastAsia"/>
              </w:rPr>
              <w:t xml:space="preserve">60,000円</w:t>
            </w:r>
          </w:p>
        </w:tc>
        <w:tc>
          <w:tcPr/>
          <w:p>
            <w:pPr>
              <w:pStyle w:val="Compact"/>
            </w:pPr>
            <w:r>
              <w:rPr>
                <w:rFonts w:hint="eastAsia"/>
              </w:rPr>
              <w:t xml:space="preserve">30,000円</w:t>
            </w:r>
          </w:p>
        </w:tc>
      </w:tr>
      <w:tr>
        <w:tc>
          <w:tcPr/>
          <w:p>
            <w:pPr>
              <w:pStyle w:val="Compact"/>
            </w:pPr>
            <w:r>
              <w:rPr>
                <w:rFonts w:hint="eastAsia"/>
              </w:rPr>
              <w:t xml:space="preserve">1億円超〜5億円以下</w:t>
            </w:r>
          </w:p>
        </w:tc>
        <w:tc>
          <w:tcPr/>
          <w:p>
            <w:pPr>
              <w:pStyle w:val="Compact"/>
            </w:pPr>
            <w:r>
              <w:rPr>
                <w:rFonts w:hint="eastAsia"/>
              </w:rPr>
              <w:t xml:space="preserve">100,000円</w:t>
            </w:r>
          </w:p>
        </w:tc>
        <w:tc>
          <w:tcPr/>
          <w:p>
            <w:pPr>
              <w:pStyle w:val="Compact"/>
            </w:pPr>
            <w:r>
              <w:rPr>
                <w:rFonts w:hint="eastAsia"/>
              </w:rPr>
              <w:t xml:space="preserve">60,000円</w:t>
            </w:r>
          </w:p>
        </w:tc>
      </w:tr>
      <w:tr>
        <w:tc>
          <w:tcPr/>
          <w:p>
            <w:pPr>
              <w:pStyle w:val="Compact"/>
            </w:pPr>
            <w:r>
              <w:rPr>
                <w:rFonts w:hint="eastAsia"/>
              </w:rPr>
              <w:t xml:space="preserve">5億円超〜10億円以下</w:t>
            </w:r>
          </w:p>
        </w:tc>
        <w:tc>
          <w:tcPr/>
          <w:p>
            <w:pPr>
              <w:pStyle w:val="Compact"/>
            </w:pPr>
            <w:r>
              <w:rPr>
                <w:rFonts w:hint="eastAsia"/>
              </w:rPr>
              <w:t xml:space="preserve">200,000円</w:t>
            </w:r>
          </w:p>
        </w:tc>
        <w:tc>
          <w:tcPr/>
          <w:p>
            <w:pPr>
              <w:pStyle w:val="Compact"/>
            </w:pPr>
            <w:r>
              <w:rPr>
                <w:rFonts w:hint="eastAsia"/>
              </w:rPr>
              <w:t xml:space="preserve">160,000円</w:t>
            </w:r>
          </w:p>
        </w:tc>
      </w:tr>
      <w:tr>
        <w:tc>
          <w:tcPr/>
          <w:p>
            <w:pPr>
              <w:pStyle w:val="Compact"/>
            </w:pPr>
            <w:r>
              <w:rPr>
                <w:rFonts w:hint="eastAsia"/>
              </w:rPr>
              <w:t xml:space="preserve">10億円超〜50億円以下</w:t>
            </w:r>
          </w:p>
        </w:tc>
        <w:tc>
          <w:tcPr/>
          <w:p>
            <w:pPr>
              <w:pStyle w:val="Compact"/>
            </w:pPr>
            <w:r>
              <w:rPr>
                <w:rFonts w:hint="eastAsia"/>
              </w:rPr>
              <w:t xml:space="preserve">400,000円</w:t>
            </w:r>
          </w:p>
        </w:tc>
        <w:tc>
          <w:tcPr/>
          <w:p>
            <w:pPr>
              <w:pStyle w:val="Compact"/>
            </w:pPr>
            <w:r>
              <w:rPr>
                <w:rFonts w:hint="eastAsia"/>
              </w:rPr>
              <w:t xml:space="preserve">320,000円</w:t>
            </w:r>
          </w:p>
        </w:tc>
      </w:tr>
      <w:tr>
        <w:tc>
          <w:tcPr/>
          <w:p>
            <w:pPr>
              <w:pStyle w:val="Compact"/>
            </w:pPr>
            <w:r>
              <w:rPr>
                <w:rFonts w:hint="eastAsia"/>
              </w:rPr>
              <w:t xml:space="preserve">50億円超</w:t>
            </w:r>
          </w:p>
        </w:tc>
        <w:tc>
          <w:tcPr/>
          <w:p>
            <w:pPr>
              <w:pStyle w:val="Compact"/>
            </w:pPr>
            <w:r>
              <w:rPr>
                <w:rFonts w:hint="eastAsia"/>
              </w:rPr>
              <w:t xml:space="preserve">600,000円</w:t>
            </w:r>
          </w:p>
        </w:tc>
        <w:tc>
          <w:tcPr/>
          <w:p>
            <w:pPr>
              <w:pStyle w:val="Compact"/>
            </w:pPr>
            <w:r>
              <w:rPr>
                <w:rFonts w:hint="eastAsia"/>
              </w:rPr>
              <w:t xml:space="preserve">480,000円</w:t>
            </w:r>
          </w:p>
        </w:tc>
      </w:tr>
      <w:tr>
        <w:tc>
          <w:tcPr/>
          <w:p>
            <w:pPr>
              <w:pStyle w:val="Compact"/>
            </w:pPr>
            <w:r>
              <w:rPr>
                <w:rFonts w:hint="eastAsia"/>
              </w:rPr>
              <w:t xml:space="preserve">契約金額の記載なし</w:t>
            </w:r>
          </w:p>
        </w:tc>
        <w:tc>
          <w:tcPr/>
          <w:p>
            <w:pPr>
              <w:pStyle w:val="Compact"/>
            </w:pPr>
            <w:r>
              <w:rPr>
                <w:rFonts w:hint="eastAsia"/>
              </w:rPr>
              <w:t xml:space="preserve">200円</w:t>
            </w:r>
          </w:p>
        </w:tc>
        <w:tc>
          <w:tcPr/>
          <w:p>
            <w:pPr>
              <w:pStyle w:val="Compact"/>
            </w:pPr>
            <w:r>
              <w:t xml:space="preserve">-</w:t>
            </w:r>
          </w:p>
        </w:tc>
      </w:tr>
    </w:tbl>
    <w:bookmarkEnd w:id="41"/>
    <w:bookmarkStart w:id="42" w:name="部作成時は両方に印紙が必要"/>
    <w:p>
      <w:pPr>
        <w:pStyle w:val="Heading3"/>
      </w:pPr>
      <w:r>
        <w:rPr>
          <w:rFonts w:hint="eastAsia"/>
        </w:rPr>
        <w:t xml:space="preserve">2部作成時は両方に印紙が必要</w:t>
      </w:r>
    </w:p>
    <w:p>
      <w:pPr>
        <w:pStyle w:val="FirstParagraph"/>
      </w:pPr>
      <w:r>
        <w:rPr>
          <w:rFonts w:hint="eastAsia"/>
        </w:rPr>
        <w:t xml:space="preserve">契約書を2部作成して甲乙双方が原本を保管する場合、</w:t>
      </w:r>
      <w:r>
        <w:rPr>
          <w:rFonts w:hint="eastAsia"/>
          <w:b/>
          <w:bCs/>
        </w:rPr>
        <w:t xml:space="preserve">両方の文書に印紙が必要</w:t>
      </w:r>
      <w:r>
        <w:rPr>
          <w:rFonts w:hint="eastAsia"/>
        </w:rPr>
        <w:t xml:space="preserve">となります。1億円超の大規模工事では、2部で20万円超の印紙税負担となります。</w:t>
      </w:r>
    </w:p>
    <w:bookmarkEnd w:id="42"/>
    <w:bookmarkStart w:id="43" w:name="電子契約として締結する場合"/>
    <w:p>
      <w:pPr>
        <w:pStyle w:val="Heading3"/>
      </w:pPr>
      <w:r>
        <w:rPr>
          <w:rFonts w:hint="eastAsia"/>
        </w:rPr>
        <w:t xml:space="preserve">電子契約として締結する場合</w:t>
      </w:r>
    </w:p>
    <w:p>
      <w:pPr>
        <w:pStyle w:val="FirstParagraph"/>
      </w:pPr>
      <w:r>
        <w:rPr>
          <w:rFonts w:hint="eastAsia"/>
          <w:b/>
          <w:bCs/>
        </w:rPr>
        <w:t xml:space="preserve">電子契約は印紙税法上の「文書」に該当せず、印紙税は不要</w:t>
      </w:r>
      <w:r>
        <w:rPr>
          <w:rFonts w:hint="eastAsia"/>
        </w:rPr>
        <w:t xml:space="preserve">となります。建設業法第19条第3項により電磁的方法による契約書面化が認容されているため、</w:t>
      </w:r>
      <w:r>
        <w:rPr>
          <w:rFonts w:hint="eastAsia"/>
          <w:b/>
          <w:bCs/>
        </w:rPr>
        <w:t xml:space="preserve">建設業法対応と印紙税ゼロを両立</w:t>
      </w:r>
      <w:r>
        <w:t xml:space="preserve">できます。</w:t>
      </w:r>
    </w:p>
    <w:p>
      <w:pPr>
        <w:pStyle w:val="BodyText"/>
      </w:pPr>
      <w:r>
        <w:rPr>
          <w:rFonts w:hint="eastAsia"/>
        </w:rPr>
        <w:t xml:space="preserve">たとえば請負代金1億円超〜5億円以下の工事を電子契約で締結すれば、1部あたり60,000円(軽減税率適用時、本則100,000円)・2部で120,000円(本則200,000円)の印紙税が完全にゼロとなります。</w:t>
      </w:r>
    </w:p>
    <w:p>
      <w:r>
        <w:pict>
          <v:rect style="width:0;height:1.5pt" o:hralign="center" o:hrstd="t" o:hr="t"/>
        </w:pict>
      </w:r>
    </w:p>
    <w:bookmarkEnd w:id="43"/>
    <w:bookmarkEnd w:id="44"/>
    <w:bookmarkStart w:id="45" w:name="テンプレート利用上の注意"/>
    <w:p>
      <w:pPr>
        <w:pStyle w:val="Heading2"/>
      </w:pPr>
      <w:r>
        <w:rPr>
          <w:rFonts w:hint="eastAsia"/>
        </w:rPr>
        <w:t xml:space="preserve">テンプレート利用上の注意</w:t>
      </w:r>
    </w:p>
    <w:p>
      <w:pPr>
        <w:pStyle w:val="Compact"/>
        <w:numPr>
          <w:ilvl w:val="0"/>
          <w:numId w:val="1038"/>
        </w:numPr>
      </w:pPr>
      <w:r>
        <w:rPr>
          <w:rFonts w:hint="eastAsia"/>
        </w:rPr>
        <w:t xml:space="preserve">本テンプレートは弁護士監修ですが、個別案件に応じた修正が必要です。重要な契約は弁護士にご相談ください。</w:t>
      </w:r>
    </w:p>
    <w:p>
      <w:pPr>
        <w:pStyle w:val="Compact"/>
        <w:numPr>
          <w:ilvl w:val="0"/>
          <w:numId w:val="1038"/>
        </w:numPr>
      </w:pPr>
      <w:r>
        <w:rPr>
          <w:rFonts w:hint="eastAsia"/>
          <w:b/>
          <w:bCs/>
        </w:rPr>
        <w:t xml:space="preserve">建設業法第19条第1項の15項目必須記載事項</w:t>
      </w:r>
      <w:r>
        <w:rPr>
          <w:rFonts w:hint="eastAsia"/>
        </w:rPr>
        <w:t xml:space="preserve">は、すべて本テンプレートに反映済みです。実際の利用にあたっては、空欄部分(金額・日付・工事内容等)を漏れなく記入してください。</w:t>
      </w:r>
    </w:p>
    <w:p>
      <w:pPr>
        <w:pStyle w:val="Compact"/>
        <w:numPr>
          <w:ilvl w:val="0"/>
          <w:numId w:val="1038"/>
        </w:numPr>
      </w:pPr>
      <w:r>
        <w:rPr>
          <w:rFonts w:hint="eastAsia"/>
          <w:b/>
          <w:bCs/>
        </w:rPr>
        <w:t xml:space="preserve">新築住宅の場合、住宅品確法第94条</w:t>
      </w:r>
      <w:r>
        <w:rPr>
          <w:rFonts w:hint="eastAsia"/>
        </w:rPr>
        <w:t xml:space="preserve">により、構造耐力上主要な部分・雨水の浸入を防止する部分について、引渡日から</w:t>
      </w:r>
      <w:r>
        <w:rPr>
          <w:rFonts w:hint="eastAsia"/>
          <w:b/>
          <w:bCs/>
        </w:rPr>
        <w:t xml:space="preserve">10年間</w:t>
      </w:r>
      <w:r>
        <w:rPr>
          <w:rFonts w:hint="eastAsia"/>
        </w:rPr>
        <w:t xml:space="preserve">の瑕疵担保責任が強制されます。第12条第5項を「10年間」に修正し、本テンプレートを住宅品確法対応の表現に書き直してください。</w:t>
      </w:r>
    </w:p>
    <w:p>
      <w:pPr>
        <w:pStyle w:val="Compact"/>
        <w:numPr>
          <w:ilvl w:val="0"/>
          <w:numId w:val="1038"/>
        </w:numPr>
      </w:pPr>
      <w:r>
        <w:rPr>
          <w:rFonts w:hint="eastAsia"/>
          <w:b/>
          <w:bCs/>
        </w:rPr>
        <w:t xml:space="preserve">下請工事の場合</w:t>
      </w:r>
      <w:r>
        <w:rPr>
          <w:rFonts w:hint="eastAsia"/>
        </w:rPr>
        <w:t xml:space="preserve">、建設業法第22条(一括下請負禁止)・第24条の3(下請代金支払期日)等の下請保護規定が適用されます。本テンプレートに必要な条項を追加してください。</w:t>
      </w:r>
    </w:p>
    <w:p>
      <w:pPr>
        <w:pStyle w:val="Compact"/>
        <w:numPr>
          <w:ilvl w:val="0"/>
          <w:numId w:val="1038"/>
        </w:numPr>
      </w:pPr>
      <w:r>
        <w:rPr>
          <w:rFonts w:hint="eastAsia"/>
          <w:b/>
          <w:bCs/>
        </w:rPr>
        <w:t xml:space="preserve">建設業許可番号</w:t>
      </w:r>
      <w:r>
        <w:rPr>
          <w:rFonts w:hint="eastAsia"/>
        </w:rPr>
        <w:t xml:space="preserve">(国土交通大臣許可または都道府県知事許可)を必ず請負人欄に併記してください。</w:t>
      </w:r>
    </w:p>
    <w:p>
      <w:pPr>
        <w:pStyle w:val="Compact"/>
        <w:numPr>
          <w:ilvl w:val="0"/>
          <w:numId w:val="1038"/>
        </w:numPr>
      </w:pPr>
      <w:r>
        <w:rPr>
          <w:rFonts w:hint="eastAsia"/>
        </w:rPr>
        <w:t xml:space="preserve">出来高査定の方法・タイミングは、工事規模・性質に応じて別紙「出来高査定基準」で具体化してください。</w:t>
      </w:r>
    </w:p>
    <w:p>
      <w:pPr>
        <w:pStyle w:val="Compact"/>
        <w:numPr>
          <w:ilvl w:val="0"/>
          <w:numId w:val="1038"/>
        </w:numPr>
      </w:pPr>
      <w:r>
        <w:rPr>
          <w:rFonts w:hint="eastAsia"/>
        </w:rPr>
        <w:t xml:space="preserve">第三者損害賠償・建設工事保険への加入(第11条・第15条)は、リスクヘッジのため強く推奨されます。</w:t>
      </w:r>
    </w:p>
    <w:p>
      <w:pPr>
        <w:pStyle w:val="Compact"/>
        <w:numPr>
          <w:ilvl w:val="0"/>
          <w:numId w:val="1038"/>
        </w:numPr>
      </w:pPr>
      <w:r>
        <w:rPr>
          <w:rFonts w:hint="eastAsia"/>
          <w:b/>
          <w:bCs/>
        </w:rPr>
        <w:t xml:space="preserve">建設業法第19条第3項により電磁的方法による契約書面化が認容</w:t>
      </w:r>
      <w:r>
        <w:rPr>
          <w:rFonts w:hint="eastAsia"/>
        </w:rPr>
        <w:t xml:space="preserve">されています。電子契約として締結する場合、末尾署名欄の文言を電子契約用に置き換えてご利用ください。</w:t>
      </w:r>
    </w:p>
    <w:p>
      <w:pPr>
        <w:pStyle w:val="Compact"/>
        <w:numPr>
          <w:ilvl w:val="0"/>
          <w:numId w:val="1038"/>
        </w:numPr>
      </w:pPr>
      <w:r>
        <w:rPr>
          <w:rFonts w:hint="eastAsia"/>
        </w:rPr>
        <w:t xml:space="preserve">電子契約として締結する場合、</w:t>
      </w:r>
      <w:r>
        <w:rPr>
          <w:rFonts w:hint="eastAsia"/>
          <w:b/>
          <w:bCs/>
        </w:rPr>
        <w:t xml:space="preserve">電子契約では印紙税は不要</w:t>
      </w:r>
      <w:r>
        <w:rPr>
          <w:rFonts w:hint="eastAsia"/>
        </w:rPr>
        <w:t xml:space="preserve">です。建設工事請負契約は契約金額が大きく、印紙税削減効果が極めて大きい契約類型です。</w:t>
      </w:r>
    </w:p>
    <w:p>
      <w:pPr>
        <w:pStyle w:val="Compact"/>
        <w:numPr>
          <w:ilvl w:val="0"/>
          <w:numId w:val="1038"/>
        </w:numPr>
      </w:pPr>
      <w:r>
        <w:rPr>
          <w:rFonts w:hint="eastAsia"/>
        </w:rPr>
        <w:t xml:space="preserve">公共工事の場合、別途「公共工事標準請負契約約款」を参照する必要があります。</w:t>
      </w:r>
    </w:p>
    <w:p>
      <w:pPr>
        <w:pStyle w:val="Compact"/>
        <w:numPr>
          <w:ilvl w:val="0"/>
          <w:numId w:val="1038"/>
        </w:numPr>
      </w:pPr>
      <w:r>
        <w:rPr>
          <w:rFonts w:hint="eastAsia"/>
        </w:rPr>
        <w:t xml:space="preserve">本テンプレートの利用により発生した一切の責任について、ムスビサインは負いかねます。最終的な内容確認は利用者の責任で行ってください。</w:t>
      </w:r>
    </w:p>
    <w:p>
      <w:r>
        <w:pict>
          <v:rect style="width:0;height:1.5pt" o:hralign="center" o:hrstd="t" o:hr="t"/>
        </w:pict>
      </w:r>
    </w:p>
    <w:p>
      <w:pPr>
        <w:pStyle w:val="FirstParagraph"/>
      </w:pPr>
      <w:r>
        <w:t xml:space="preserve">なお、ムスビサインなら</w:t>
      </w:r>
      <w:r>
        <w:rPr>
          <w:rFonts w:hint="eastAsia"/>
          <w:b/>
          <w:bCs/>
        </w:rPr>
        <w:t xml:space="preserve">無料登録で月3件まで無料</w:t>
      </w:r>
      <w:r>
        <w:rPr>
          <w:rFonts w:hint="eastAsia"/>
        </w:rPr>
        <w:t xml:space="preserve">、有料プランも</w:t>
      </w:r>
      <w:r>
        <w:rPr>
          <w:rFonts w:hint="eastAsia"/>
          <w:b/>
          <w:bCs/>
        </w:rPr>
        <w:t xml:space="preserve">月々3,000円(税込)で月50件</w:t>
      </w:r>
      <w:r>
        <w:rPr>
          <w:rFonts w:hint="eastAsia"/>
        </w:rPr>
        <w:t xml:space="preserve">の契約締結が可能です。詳しくは公式サイト(https://musubisign.com)をご覧ください。</w:t>
      </w:r>
    </w:p>
    <w:p>
      <w:pPr>
        <w:pStyle w:val="BodyText"/>
      </w:pPr>
      <w:r>
        <w:rPr>
          <w:rFonts w:hint="eastAsia"/>
          <w:i/>
          <w:iCs/>
        </w:rPr>
        <w:t xml:space="preserve">本テンプレートは2026年5月時点の法令・印紙税額・軽減税率に基づき作成しています。法令改正により内容が陳腐化する可能性があるため、最新版の確認をおすすめします。</w:t>
      </w:r>
    </w:p>
    <w:bookmarkEnd w:id="45"/>
    <w:bookmarkEnd w:id="46"/>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31">
    <w:nsid w:val="00A9943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413">
    <w:nsid w:val="00A9941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99415">
    <w:nsid w:val="00A99415"/>
    <w:multiLevelType w:val="multilevel"/>
    <w:lvl w:ilvl="0">
      <w:start w:val="5"/>
      <w:numFmt w:val="decimal"/>
      <w:lvlText w:val="%1."/>
      <w:lvlJc w:val="left"/>
      <w:pPr>
        <w:ind w:left="720" w:hanging="360"/>
      </w:pPr>
    </w:lvl>
    <w:lvl w:ilvl="1">
      <w:start w:val="5"/>
      <w:numFmt w:val="decimal"/>
      <w:lvlText w:val="%2."/>
      <w:lvlJc w:val="left"/>
      <w:pPr>
        <w:ind w:left="1440" w:hanging="360"/>
      </w:pPr>
    </w:lvl>
    <w:lvl w:ilvl="2">
      <w:start w:val="5"/>
      <w:numFmt w:val="decimal"/>
      <w:lvlText w:val="%3."/>
      <w:lvlJc w:val="left"/>
      <w:pPr>
        <w:ind w:left="2160" w:hanging="360"/>
      </w:pPr>
    </w:lvl>
    <w:lvl w:ilvl="3">
      <w:start w:val="5"/>
      <w:numFmt w:val="decimal"/>
      <w:lvlText w:val="%4."/>
      <w:lvlJc w:val="left"/>
      <w:pPr>
        <w:ind w:left="2880" w:hanging="360"/>
      </w:pPr>
    </w:lvl>
    <w:lvl w:ilvl="4">
      <w:start w:val="5"/>
      <w:numFmt w:val="decimal"/>
      <w:lvlText w:val="%5."/>
      <w:lvlJc w:val="left"/>
      <w:pPr>
        <w:ind w:left="3600" w:hanging="360"/>
      </w:pPr>
    </w:lvl>
    <w:lvl w:ilvl="5">
      <w:start w:val="5"/>
      <w:numFmt w:val="decimal"/>
      <w:lvlText w:val="%6."/>
      <w:lvlJc w:val="left"/>
      <w:pPr>
        <w:ind w:left="4320" w:hanging="360"/>
      </w:pPr>
    </w:lvl>
    <w:lvl w:ilvl="6">
      <w:start w:val="5"/>
      <w:numFmt w:val="decimal"/>
      <w:lvlText w:val="%7."/>
      <w:lvlJc w:val="left"/>
      <w:pPr>
        <w:ind w:left="5040" w:hanging="360"/>
      </w:pPr>
    </w:lvl>
    <w:lvl w:ilvl="7">
      <w:start w:val="5"/>
      <w:numFmt w:val="decimal"/>
      <w:lvlText w:val="%8."/>
      <w:lvlJc w:val="left"/>
      <w:pPr>
        <w:ind w:left="5760" w:hanging="360"/>
      </w:pPr>
    </w:lvl>
    <w:lvl w:ilvl="8">
      <w:start w:val="5"/>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4">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1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0">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2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4">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2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6">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7">
    <w:abstractNumId w:val="9941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02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0">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1">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3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3">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4">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3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7">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9" Target="&#27880;&#25991;&#32773;&#12539;&#20197;&#19979;&#12300;&#30002;&#12301;&#12392;&#12356;&#12358;&#12290;" TargetMode="External" /><Relationship Type="http://schemas.openxmlformats.org/officeDocument/2006/relationships/hyperlink" Id="rId10" Target="&#35531;&#36000;&#20154;&#12539;&#24314;&#35373;&#26989;&#35377;&#21487;&#30058;&#21495;:%5B&#35377;&#21487;&#30058;&#21495;%5D&#12539;&#20197;&#19979;&#12300;&#20057;&#12301;&#12392;&#12356;&#12358;&#12290;" TargetMode="External" /></Relationships>
</file>

<file path=word/_rels/footnotes.xml.rels><?xml version="1.0" encoding="UTF-8"?><Relationships xmlns="http://schemas.openxmlformats.org/package/2006/relationships"><Relationship Type="http://schemas.openxmlformats.org/officeDocument/2006/relationships/hyperlink" Id="rId9" Target="&#27880;&#25991;&#32773;&#12539;&#20197;&#19979;&#12300;&#30002;&#12301;&#12392;&#12356;&#12358;&#12290;" TargetMode="External" /><Relationship Type="http://schemas.openxmlformats.org/officeDocument/2006/relationships/hyperlink" Id="rId10" Target="&#35531;&#36000;&#20154;&#12539;&#24314;&#35373;&#26989;&#35377;&#21487;&#30058;&#21495;:%5B&#35377;&#21487;&#30058;&#21495;%5D&#12539;&#20197;&#19979;&#12300;&#20057;&#12301;&#12392;&#12356;&#12358;&#1229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2026-06-16T00:52:14Z</dcterms:created>
  <dcterms:modified xsi:type="dcterms:W3CDTF">2026-06-16T00:52:14Z</dcterms:modified>
</cp:coreProperties>
</file>

<file path=docProps/custom.xml><?xml version="1.0" encoding="utf-8"?>
<Properties xmlns="http://schemas.openxmlformats.org/officeDocument/2006/custom-properties" xmlns:vt="http://schemas.openxmlformats.org/officeDocument/2006/docPropsVTypes"/>
</file>