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業務委託契約書(システム開発・請負型)</w:t>
      </w:r>
    </w:p>
    <w:p>
      <w:pPr>
        <w:pStyle w:val="BlockText"/>
      </w:pPr>
      <w:r>
        <w:rPr>
          <w:rFonts w:hint="eastAsia"/>
        </w:rPr>
        <w:t xml:space="preserve">※本テンプレートは、システム開発における「設計・開発・テスト」フェーズを想定した請負型契約書です。要件定義フェーズは準委任(成果完成型)、保守・運用フェーズは準委任(履行割合型)が適することが多いため、別途専用のテンプレートをご利用ください。</w:t>
      </w:r>
      <w:r>
        <w:rPr>
          <w:rFonts w:hint="eastAsia"/>
        </w:rPr>
        <w:br/>
      </w:r>
      <w:r>
        <w:rPr>
          <w:rFonts w:hint="eastAsia"/>
        </w:rPr>
        <w:t xml:space="preserve">※2020年4月施行の改正民法(契約不適合責任)、2024年11月施行のフリーランス新法、著作権法等の最新法令に対応しています。</w:t>
      </w:r>
    </w:p>
    <w:p/>
    <w:p>
      <w:pPr>
        <w:pStyle w:val="Heading2"/>
      </w:pPr>
      <w:r>
        <w:rPr>
          <w:rFonts w:hint="eastAsia"/>
        </w:rPr>
        <w:t xml:space="preserve">業務委託契約書(システム開発)</w:t>
      </w:r>
    </w:p>
    <w:p>
      <w:pPr>
        <w:pStyle w:val="FirstParagraph"/>
      </w:pPr>
      <w:r>
        <w:rPr>
          <w:rFonts w:hint="eastAsia"/>
        </w:rPr>
        <w:t xml:space="preserve">甲の正式名称</w:t>
      </w:r>
      <w:r>
        <w:t xml:space="preserve">と</w:t>
      </w:r>
      <w:r>
        <w:rPr>
          <w:rFonts w:hint="eastAsia"/>
        </w:rPr>
        <w:t xml:space="preserve">乙の正式名称</w:t>
      </w:r>
      <w:r>
        <w:rPr>
          <w:rFonts w:hint="eastAsia"/>
        </w:rPr>
        <w:t xml:space="preserve">とは、甲が乙に対してシステム開発業務を委託し、乙がこれを請け負うことに関して、以下のとおり業務委託契約(以下「本契約」という。)を締結する。</w:t>
      </w:r>
    </w:p>
    <w:p/>
    <w:p>
      <w:pPr>
        <w:pStyle w:val="Heading3"/>
      </w:pPr>
      <w:r>
        <w:rPr>
          <w:rFonts w:hint="eastAsia"/>
        </w:rPr>
        <w:t xml:space="preserve">第1条(目的)</w:t>
      </w:r>
    </w:p>
    <w:p>
      <w:pPr>
        <w:pStyle w:val="FirstParagraph"/>
      </w:pPr>
      <w:r>
        <w:rPr>
          <w:rFonts w:hint="eastAsia"/>
        </w:rPr>
        <w:t xml:space="preserve">甲は乙に対し、第3条に定めるシステム開発業務(以下「本件業務」という。)を委託し、乙はこれを請け負う。乙は、本件業務を完成させ、その成果物(以下「成果物」という。)を甲に引き渡すものとする。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「本件業務」とは、第3条に定めるシステム開発業務をいう。</w:t>
      </w:r>
    </w:p>
    <w:p>
      <w:pPr>
        <w:pStyle w:val="Compact"/>
        <w:numPr>
          <w:ilvl w:val="0"/>
          <w:numId w:val="1001"/>
        </w:numPr>
      </w:pPr>
      <w:r>
        <w:rPr>
          <w:rFonts w:hint="eastAsia"/>
        </w:rPr>
        <w:t xml:space="preserve">「成果物」とは、本件業務の遂行により乙が作成し、甲に引き渡すべき一切の物又は電磁的記録(プログラム、ソースコード、設計書、テスト結果報告書、運用マニュアル等を含む。)をいう。</w:t>
      </w:r>
    </w:p>
    <w:p>
      <w:pPr>
        <w:pStyle w:val="Compact"/>
        <w:numPr>
          <w:ilvl w:val="0"/>
          <w:numId w:val="1001"/>
        </w:numPr>
      </w:pPr>
      <w:r>
        <w:rPr>
          <w:rFonts w:hint="eastAsia"/>
        </w:rPr>
        <w:t xml:space="preserve">「仕様書」とは、本件業務及び成果物の仕様、機能、性能、品質、数量等を定めた別紙仕様書をいう。</w:t>
      </w:r>
    </w:p>
    <w:p>
      <w:pPr>
        <w:pStyle w:val="Compact"/>
        <w:numPr>
          <w:ilvl w:val="0"/>
          <w:numId w:val="1001"/>
        </w:numPr>
      </w:pPr>
      <w:r>
        <w:rPr>
          <w:rFonts w:hint="eastAsia"/>
        </w:rPr>
        <w:t xml:space="preserve">「検収」とは、甲が成果物の内容を検査し、仕様書に適合することを確認する行為をいう。</w:t>
      </w:r>
    </w:p>
    <w:p>
      <w:pPr>
        <w:pStyle w:val="Compact"/>
        <w:numPr>
          <w:ilvl w:val="0"/>
          <w:numId w:val="1001"/>
        </w:numPr>
      </w:pPr>
      <w:r>
        <w:rPr>
          <w:rFonts w:hint="eastAsia"/>
        </w:rPr>
        <w:t xml:space="preserve">「OSS」とは、オープンソースソフトウェアをいい、第三者の知的財産権者がオープンソースライセンスに基づき提供するソフトウェアをいう。</w:t>
      </w:r>
    </w:p>
    <w:p/>
    <w:p>
      <w:pPr>
        <w:pStyle w:val="Heading3"/>
      </w:pPr>
      <w:r>
        <w:rPr>
          <w:rFonts w:hint="eastAsia"/>
        </w:rPr>
        <w:t xml:space="preserve">第3条(委託業務の内容)</w:t>
      </w:r>
    </w:p>
    <w:p>
      <w:pPr>
        <w:pStyle w:val="Compact"/>
        <w:numPr>
          <w:ilvl w:val="0"/>
          <w:numId w:val="1002"/>
        </w:numPr>
      </w:pPr>
      <w:r>
        <w:rPr>
          <w:rFonts w:hint="eastAsia"/>
        </w:rPr>
        <w:t xml:space="preserve">甲が乙に委託する本件業務の内容は、以下のとおりとする。</w:t>
      </w:r>
    </w:p>
    <w:p>
      <w:pPr>
        <w:pStyle w:val="Compact"/>
        <w:numPr>
          <w:ilvl w:val="1"/>
          <w:numId w:val="1003"/>
        </w:numPr>
      </w:pPr>
      <w:r>
        <w:rPr>
          <w:rFonts w:hint="eastAsia"/>
        </w:rPr>
        <w:t xml:space="preserve">業務名称:[システム名(例:○○管理システムの設計・開発・テスト)]</w:t>
      </w:r>
    </w:p>
    <w:p>
      <w:pPr>
        <w:pStyle w:val="Compact"/>
        <w:numPr>
          <w:ilvl w:val="1"/>
          <w:numId w:val="1003"/>
        </w:numPr>
      </w:pPr>
      <w:r>
        <w:rPr>
          <w:rFonts w:hint="eastAsia"/>
        </w:rPr>
        <w:t xml:space="preserve">業務内容:</w:t>
      </w:r>
    </w:p>
    <w:p>
      <w:pPr>
        <w:pStyle w:val="Compact"/>
        <w:numPr>
          <w:ilvl w:val="1"/>
          <w:numId w:val="1004"/>
        </w:numPr>
      </w:pPr>
      <w:r>
        <w:rPr>
          <w:rFonts w:hint="eastAsia"/>
        </w:rPr>
        <w:t xml:space="preserve">[基本設計]</w:t>
      </w:r>
    </w:p>
    <w:p>
      <w:pPr>
        <w:pStyle w:val="Compact"/>
        <w:numPr>
          <w:ilvl w:val="1"/>
          <w:numId w:val="1004"/>
        </w:numPr>
      </w:pPr>
      <w:r>
        <w:rPr>
          <w:rFonts w:hint="eastAsia"/>
        </w:rPr>
        <w:t xml:space="preserve">[詳細設計]</w:t>
      </w:r>
    </w:p>
    <w:p>
      <w:pPr>
        <w:pStyle w:val="Compact"/>
        <w:numPr>
          <w:ilvl w:val="1"/>
          <w:numId w:val="1004"/>
        </w:numPr>
      </w:pPr>
      <w:r>
        <w:rPr>
          <w:rFonts w:hint="eastAsia"/>
        </w:rPr>
        <w:t xml:space="preserve">[プログラミング・実装]</w:t>
      </w:r>
    </w:p>
    <w:p>
      <w:pPr>
        <w:pStyle w:val="Compact"/>
        <w:numPr>
          <w:ilvl w:val="1"/>
          <w:numId w:val="1004"/>
        </w:numPr>
      </w:pPr>
      <w:r>
        <w:rPr>
          <w:rFonts w:hint="eastAsia"/>
        </w:rPr>
        <w:t xml:space="preserve">[単体テスト・結合テスト]</w:t>
      </w:r>
    </w:p>
    <w:p>
      <w:pPr>
        <w:pStyle w:val="Compact"/>
        <w:numPr>
          <w:ilvl w:val="1"/>
          <w:numId w:val="1004"/>
        </w:numPr>
      </w:pPr>
      <w:r>
        <w:rPr>
          <w:rFonts w:hint="eastAsia"/>
        </w:rPr>
        <w:t xml:space="preserve">[システムテスト・受入テスト支援]</w:t>
      </w:r>
    </w:p>
    <w:p>
      <w:pPr>
        <w:pStyle w:val="Compact"/>
        <w:numPr>
          <w:ilvl w:val="1"/>
          <w:numId w:val="1005"/>
        </w:numPr>
      </w:pPr>
      <w:r>
        <w:rPr>
          <w:rFonts w:hint="eastAsia"/>
        </w:rPr>
        <w:t xml:space="preserve">成果物:</w:t>
      </w:r>
    </w:p>
    <w:p>
      <w:pPr>
        <w:pStyle w:val="Compact"/>
        <w:numPr>
          <w:ilvl w:val="1"/>
          <w:numId w:val="1006"/>
        </w:numPr>
      </w:pPr>
      <w:r>
        <w:rPr>
          <w:rFonts w:hint="eastAsia"/>
        </w:rPr>
        <w:t xml:space="preserve">プログラム本体(実行モジュール及びソースコード)</w:t>
      </w:r>
    </w:p>
    <w:p>
      <w:pPr>
        <w:pStyle w:val="Compact"/>
        <w:numPr>
          <w:ilvl w:val="1"/>
          <w:numId w:val="1006"/>
        </w:numPr>
      </w:pPr>
      <w:r>
        <w:rPr>
          <w:rFonts w:hint="eastAsia"/>
        </w:rPr>
        <w:t xml:space="preserve">設計書(基本設計書・詳細設計書)</w:t>
      </w:r>
    </w:p>
    <w:p>
      <w:pPr>
        <w:pStyle w:val="Compact"/>
        <w:numPr>
          <w:ilvl w:val="1"/>
          <w:numId w:val="1006"/>
        </w:numPr>
      </w:pPr>
      <w:r>
        <w:rPr>
          <w:rFonts w:hint="eastAsia"/>
        </w:rPr>
        <w:t xml:space="preserve">テスト結果報告書</w:t>
      </w:r>
    </w:p>
    <w:p>
      <w:pPr>
        <w:pStyle w:val="Compact"/>
        <w:numPr>
          <w:ilvl w:val="1"/>
          <w:numId w:val="1006"/>
        </w:numPr>
      </w:pPr>
      <w:r>
        <w:rPr>
          <w:rFonts w:hint="eastAsia"/>
        </w:rPr>
        <w:t xml:space="preserve">運用マニュアル・操作マニュアル</w:t>
      </w:r>
    </w:p>
    <w:p>
      <w:pPr>
        <w:pStyle w:val="Compact"/>
        <w:numPr>
          <w:ilvl w:val="1"/>
          <w:numId w:val="1006"/>
        </w:numPr>
      </w:pPr>
      <w:r>
        <w:rPr>
          <w:rFonts w:hint="eastAsia"/>
        </w:rPr>
        <w:t xml:space="preserve">[その他案件特有の納品物]</w:t>
      </w:r>
    </w:p>
    <w:p>
      <w:pPr>
        <w:pStyle w:val="Compact"/>
        <w:numPr>
          <w:ilvl w:val="1"/>
          <w:numId w:val="1007"/>
        </w:numPr>
      </w:pPr>
      <w:r>
        <w:rPr>
          <w:rFonts w:hint="eastAsia"/>
        </w:rPr>
        <w:t xml:space="preserve">その他の詳細:別紙仕様書のとおり</w:t>
      </w:r>
    </w:p>
    <w:p>
      <w:pPr>
        <w:pStyle w:val="Compact"/>
        <w:numPr>
          <w:ilvl w:val="0"/>
          <w:numId w:val="1002"/>
        </w:numPr>
      </w:pPr>
      <w:r>
        <w:rPr>
          <w:rFonts w:hint="eastAsia"/>
        </w:rPr>
        <w:t xml:space="preserve">別紙仕様書は、本契約の不可分の一部を構成する。</w:t>
      </w:r>
    </w:p>
    <w:p>
      <w:pPr>
        <w:pStyle w:val="Compact"/>
        <w:numPr>
          <w:ilvl w:val="0"/>
          <w:numId w:val="1002"/>
        </w:numPr>
      </w:pPr>
      <w:r>
        <w:rPr>
          <w:rFonts w:hint="eastAsia"/>
        </w:rPr>
        <w:t xml:space="preserve">仕様書の内容と本契約本文の内容に齟齬がある場合は、本契約本文の規定が優先する。</w:t>
      </w:r>
    </w:p>
    <w:p/>
    <w:p>
      <w:pPr>
        <w:pStyle w:val="Heading3"/>
      </w:pPr>
      <w:r>
        <w:rPr>
          <w:rFonts w:hint="eastAsia"/>
        </w:rPr>
        <w:t xml:space="preserve">第4条(履行期間・スケジュール)</w:t>
      </w:r>
    </w:p>
    <w:p>
      <w:pPr>
        <w:pStyle w:val="Compact"/>
        <w:numPr>
          <w:ilvl w:val="0"/>
          <w:numId w:val="1008"/>
        </w:numPr>
      </w:pPr>
      <w:r>
        <w:rPr>
          <w:rFonts w:hint="eastAsia"/>
        </w:rPr>
        <w:t xml:space="preserve">本件業務の履行期間は、[YYYY年MM月DD日]から[YYYY年MM月DD日]までとする。</w:t>
      </w:r>
    </w:p>
    <w:p>
      <w:pPr>
        <w:pStyle w:val="Compact"/>
        <w:numPr>
          <w:ilvl w:val="0"/>
          <w:numId w:val="1008"/>
        </w:numPr>
      </w:pPr>
      <w:r>
        <w:rPr>
          <w:rFonts w:hint="eastAsia"/>
        </w:rPr>
        <w:t xml:space="preserve">本件業務のマイルストーン及び各成果物の納期は、以下のとおりとする。</w:t>
      </w:r>
    </w:p>
    <w:p>
      <w:pPr>
        <w:pStyle w:val="Compact"/>
        <w:numPr>
          <w:ilvl w:val="1"/>
          <w:numId w:val="1009"/>
        </w:numPr>
      </w:pPr>
      <w:r>
        <w:rPr>
          <w:rFonts w:hint="eastAsia"/>
        </w:rPr>
        <w:t xml:space="preserve">基本設計完了:[YYYY年MM月DD日]</w:t>
      </w:r>
    </w:p>
    <w:p>
      <w:pPr>
        <w:pStyle w:val="Compact"/>
        <w:numPr>
          <w:ilvl w:val="1"/>
          <w:numId w:val="1009"/>
        </w:numPr>
      </w:pPr>
      <w:r>
        <w:rPr>
          <w:rFonts w:hint="eastAsia"/>
        </w:rPr>
        <w:t xml:space="preserve">詳細設計完了:[YYYY年MM月DD日]</w:t>
      </w:r>
    </w:p>
    <w:p>
      <w:pPr>
        <w:pStyle w:val="Compact"/>
        <w:numPr>
          <w:ilvl w:val="1"/>
          <w:numId w:val="1009"/>
        </w:numPr>
      </w:pPr>
      <w:r>
        <w:rPr>
          <w:rFonts w:hint="eastAsia"/>
        </w:rPr>
        <w:t xml:space="preserve">実装完了:[YYYY年MM月DD日]</w:t>
      </w:r>
    </w:p>
    <w:p>
      <w:pPr>
        <w:pStyle w:val="Compact"/>
        <w:numPr>
          <w:ilvl w:val="1"/>
          <w:numId w:val="1009"/>
        </w:numPr>
      </w:pPr>
      <w:r>
        <w:rPr>
          <w:rFonts w:hint="eastAsia"/>
        </w:rPr>
        <w:t xml:space="preserve">テスト完了:[YYYY年MM月DD日]</w:t>
      </w:r>
    </w:p>
    <w:p>
      <w:pPr>
        <w:pStyle w:val="Compact"/>
        <w:numPr>
          <w:ilvl w:val="1"/>
          <w:numId w:val="1009"/>
        </w:numPr>
      </w:pPr>
      <w:r>
        <w:rPr>
          <w:rFonts w:hint="eastAsia"/>
        </w:rPr>
        <w:t xml:space="preserve">最終納品:[YYYY年MM月DD日]</w:t>
      </w:r>
    </w:p>
    <w:p>
      <w:pPr>
        <w:pStyle w:val="Compact"/>
        <w:numPr>
          <w:ilvl w:val="0"/>
          <w:numId w:val="1008"/>
        </w:numPr>
      </w:pPr>
      <w:r>
        <w:rPr>
          <w:rFonts w:hint="eastAsia"/>
        </w:rPr>
        <w:t xml:space="preserve">乙は、自己の責に帰すべき事由により納期を遵守できないおそれがあるときは、直ちに甲に対して書面又は電磁的方法によりその旨を通知し、甲乙協議の上、納期の変更等の措置を講ずるものとする。</w:t>
      </w:r>
    </w:p>
    <w:p/>
    <w:p>
      <w:pPr>
        <w:pStyle w:val="Heading3"/>
      </w:pPr>
      <w:r>
        <w:rPr>
          <w:rFonts w:hint="eastAsia"/>
        </w:rPr>
        <w:t xml:space="preserve">第5条(請負代金及び支払条件)</w:t>
      </w:r>
    </w:p>
    <w:p>
      <w:pPr>
        <w:pStyle w:val="Compact"/>
        <w:numPr>
          <w:ilvl w:val="0"/>
          <w:numId w:val="1010"/>
        </w:numPr>
      </w:pPr>
      <w:r>
        <w:rPr>
          <w:rFonts w:hint="eastAsia"/>
        </w:rPr>
        <w:t xml:space="preserve">本件業務に対する請負代金は、金[○,○○○,○○○]円(税別)とする。</w:t>
      </w:r>
    </w:p>
    <w:p>
      <w:pPr>
        <w:pStyle w:val="Compact"/>
        <w:numPr>
          <w:ilvl w:val="0"/>
          <w:numId w:val="1010"/>
        </w:numPr>
      </w:pPr>
      <w:r>
        <w:rPr>
          <w:rFonts w:hint="eastAsia"/>
        </w:rPr>
        <w:t xml:space="preserve">請負代金の支払時期及び金額は、以下のとおりとする。</w:t>
      </w:r>
      <w:r>
        <w:t xml:space="preserve"> </w:t>
      </w:r>
      <w:r>
        <w:t xml:space="preserve">☐ </w:t>
      </w:r>
      <w:r>
        <w:rPr>
          <w:rFonts w:hint="eastAsia"/>
        </w:rPr>
        <w:t xml:space="preserve">一括支払:検収完了後、乙からの請求書受領日から[30]日以内に全額支払</w:t>
      </w:r>
      <w:r>
        <w:t xml:space="preserve"> </w:t>
      </w:r>
      <w:r>
        <w:t xml:space="preserve">☐ </w:t>
      </w:r>
      <w:r>
        <w:rPr>
          <w:rFonts w:hint="eastAsia"/>
        </w:rPr>
        <w:t xml:space="preserve">分割支払:</w:t>
      </w:r>
    </w:p>
    <w:p>
      <w:pPr>
        <w:pStyle w:val="Compact"/>
        <w:numPr>
          <w:ilvl w:val="1"/>
          <w:numId w:val="1011"/>
        </w:numPr>
      </w:pPr>
      <w:r>
        <w:rPr>
          <w:rFonts w:hint="eastAsia"/>
        </w:rPr>
        <w:t xml:space="preserve">着手金(契約締結時):全体の30%(金[○○○,○○○]円)</w:t>
      </w:r>
    </w:p>
    <w:p>
      <w:pPr>
        <w:pStyle w:val="Compact"/>
        <w:numPr>
          <w:ilvl w:val="1"/>
          <w:numId w:val="1011"/>
        </w:numPr>
      </w:pPr>
      <w:r>
        <w:rPr>
          <w:rFonts w:hint="eastAsia"/>
        </w:rPr>
        <w:t xml:space="preserve">中間金(基本設計完了時):全体の30%(金[○○○,○○○]円)</w:t>
      </w:r>
    </w:p>
    <w:p>
      <w:pPr>
        <w:pStyle w:val="Compact"/>
        <w:numPr>
          <w:ilvl w:val="1"/>
          <w:numId w:val="1011"/>
        </w:numPr>
      </w:pPr>
      <w:r>
        <w:rPr>
          <w:rFonts w:hint="eastAsia"/>
        </w:rPr>
        <w:t xml:space="preserve">完成払(検収完了時):全体の40%(金[○○○,○○○]円)</w:t>
      </w:r>
    </w:p>
    <w:p>
      <w:pPr>
        <w:pStyle w:val="Compact"/>
        <w:numPr>
          <w:ilvl w:val="0"/>
          <w:numId w:val="1010"/>
        </w:numPr>
      </w:pPr>
      <w:r>
        <w:rPr>
          <w:rFonts w:hint="eastAsia"/>
        </w:rPr>
        <w:t xml:space="preserve">甲は、乙からの適法な請求書受領日から[30]日以内(かつ給付の受領日から60日を超えない範囲)に、請負代金を乙の指定する金融機関の口座へ振込みにより支払う。振込手数料は甲の負担とする。</w:t>
      </w:r>
    </w:p>
    <w:p/>
    <w:p>
      <w:pPr>
        <w:pStyle w:val="Heading3"/>
      </w:pPr>
      <w:r>
        <w:rPr>
          <w:rFonts w:hint="eastAsia"/>
        </w:rPr>
        <w:t xml:space="preserve">第6条(仕様変更)</w:t>
      </w:r>
    </w:p>
    <w:p>
      <w:pPr>
        <w:pStyle w:val="Compact"/>
        <w:numPr>
          <w:ilvl w:val="0"/>
          <w:numId w:val="1012"/>
        </w:numPr>
      </w:pPr>
      <w:r>
        <w:rPr>
          <w:rFonts w:hint="eastAsia"/>
        </w:rPr>
        <w:t xml:space="preserve">甲又は乙は、本件業務の遂行中に仕様の変更(以下「仕様変更」という。)が必要となった場合、相手方に対し書面又は電磁的方法によりその旨を通知する。</w:t>
      </w:r>
    </w:p>
    <w:p>
      <w:pPr>
        <w:pStyle w:val="Compact"/>
        <w:numPr>
          <w:ilvl w:val="0"/>
          <w:numId w:val="1012"/>
        </w:numPr>
      </w:pPr>
      <w:r>
        <w:rPr>
          <w:rFonts w:hint="eastAsia"/>
        </w:rPr>
        <w:t xml:space="preserve">仕様変更については、甲乙が書面又は電磁的方法により合意した「変更合意書」をもって正式に確定するものとする。</w:t>
      </w:r>
    </w:p>
    <w:p>
      <w:pPr>
        <w:pStyle w:val="Compact"/>
        <w:numPr>
          <w:ilvl w:val="0"/>
          <w:numId w:val="1012"/>
        </w:numPr>
      </w:pPr>
      <w:r>
        <w:rPr>
          <w:rFonts w:hint="eastAsia"/>
        </w:rPr>
        <w:t xml:space="preserve">仕様変更により追加費用、納期延長その他本契約の条件変更が必要となる場合、その内容を変更合意書に記載するものとする。</w:t>
      </w:r>
    </w:p>
    <w:p>
      <w:pPr>
        <w:pStyle w:val="Compact"/>
        <w:numPr>
          <w:ilvl w:val="0"/>
          <w:numId w:val="1012"/>
        </w:numPr>
      </w:pPr>
      <w:r>
        <w:rPr>
          <w:rFonts w:hint="eastAsia"/>
        </w:rPr>
        <w:t xml:space="preserve">変更合意書の作成のない仕様変更については、乙はこれに応じる義務を負わない。</w:t>
      </w:r>
    </w:p>
    <w:p>
      <w:pPr>
        <w:pStyle w:val="Compact"/>
        <w:numPr>
          <w:ilvl w:val="0"/>
          <w:numId w:val="1012"/>
        </w:numPr>
      </w:pPr>
      <w:r>
        <w:rPr>
          <w:rFonts w:hint="eastAsia"/>
        </w:rPr>
        <w:t xml:space="preserve">乙は、変更合意書に基づき、追加費用の見積りを甲に提示するものとし、甲が当該見積りに合意した上で仕様変更作業に着手する。</w:t>
      </w:r>
    </w:p>
    <w:p/>
    <w:p>
      <w:pPr>
        <w:pStyle w:val="Heading3"/>
      </w:pPr>
      <w:r>
        <w:rPr>
          <w:rFonts w:hint="eastAsia"/>
        </w:rPr>
        <w:t xml:space="preserve">第7条(委託者の協力義務)</w:t>
      </w:r>
    </w:p>
    <w:p>
      <w:pPr>
        <w:pStyle w:val="Compact"/>
        <w:numPr>
          <w:ilvl w:val="0"/>
          <w:numId w:val="1013"/>
        </w:numPr>
      </w:pPr>
      <w:r>
        <w:rPr>
          <w:rFonts w:hint="eastAsia"/>
        </w:rPr>
        <w:t xml:space="preserve">甲は、本件業務の円滑な遂行のために、以下の事項を含む必要な協力を行うものとする。</w:t>
      </w:r>
    </w:p>
    <w:p>
      <w:pPr>
        <w:pStyle w:val="Compact"/>
        <w:numPr>
          <w:ilvl w:val="1"/>
          <w:numId w:val="1014"/>
        </w:numPr>
      </w:pPr>
      <w:r>
        <w:rPr>
          <w:rFonts w:hint="eastAsia"/>
        </w:rPr>
        <w:t xml:space="preserve">乙からの質問・確認事項への合理的期間内の回答</w:t>
      </w:r>
    </w:p>
    <w:p>
      <w:pPr>
        <w:pStyle w:val="Compact"/>
        <w:numPr>
          <w:ilvl w:val="1"/>
          <w:numId w:val="1014"/>
        </w:numPr>
      </w:pPr>
      <w:r>
        <w:rPr>
          <w:rFonts w:hint="eastAsia"/>
        </w:rPr>
        <w:t xml:space="preserve">本件業務の遂行に必要な業務情報、データ、資料の提供</w:t>
      </w:r>
    </w:p>
    <w:p>
      <w:pPr>
        <w:pStyle w:val="Compact"/>
        <w:numPr>
          <w:ilvl w:val="1"/>
          <w:numId w:val="1014"/>
        </w:numPr>
      </w:pPr>
      <w:r>
        <w:rPr>
          <w:rFonts w:hint="eastAsia"/>
        </w:rPr>
        <w:t xml:space="preserve">第8条に定める検収プロセスへの協力</w:t>
      </w:r>
    </w:p>
    <w:p>
      <w:pPr>
        <w:pStyle w:val="Compact"/>
        <w:numPr>
          <w:ilvl w:val="1"/>
          <w:numId w:val="1014"/>
        </w:numPr>
      </w:pPr>
      <w:r>
        <w:rPr>
          <w:rFonts w:hint="eastAsia"/>
        </w:rPr>
        <w:t xml:space="preserve">業務担当者・連絡窓口の指定及び維持</w:t>
      </w:r>
    </w:p>
    <w:p>
      <w:pPr>
        <w:pStyle w:val="Compact"/>
        <w:numPr>
          <w:ilvl w:val="1"/>
          <w:numId w:val="1014"/>
        </w:numPr>
      </w:pPr>
      <w:r>
        <w:rPr>
          <w:rFonts w:hint="eastAsia"/>
        </w:rPr>
        <w:t xml:space="preserve">既存システム等への接続環境の提供(必要な場合)</w:t>
      </w:r>
    </w:p>
    <w:p>
      <w:pPr>
        <w:pStyle w:val="Compact"/>
        <w:numPr>
          <w:ilvl w:val="0"/>
          <w:numId w:val="1013"/>
        </w:numPr>
      </w:pPr>
      <w:r>
        <w:rPr>
          <w:rFonts w:hint="eastAsia"/>
        </w:rPr>
        <w:t xml:space="preserve">甲が前項の協力義務を怠ったことに起因して納期遅延、追加費用が発生した場合、乙はその責任を負わず、納期の変更又は追加費用の請求を行うことができる。</w:t>
      </w:r>
    </w:p>
    <w:p/>
    <w:p>
      <w:pPr>
        <w:pStyle w:val="Heading3"/>
      </w:pPr>
      <w:r>
        <w:rPr>
          <w:rFonts w:hint="eastAsia"/>
        </w:rPr>
        <w:t xml:space="preserve">第8条(検収)</w:t>
      </w:r>
    </w:p>
    <w:p>
      <w:pPr>
        <w:pStyle w:val="Compact"/>
        <w:numPr>
          <w:ilvl w:val="0"/>
          <w:numId w:val="1015"/>
        </w:numPr>
      </w:pPr>
      <w:r>
        <w:rPr>
          <w:rFonts w:hint="eastAsia"/>
        </w:rPr>
        <w:t xml:space="preserve">乙は、成果物を完成させたときは、これを甲の指定する場所(物理的な場所又は電磁的方法による送信先)に納入する。</w:t>
      </w:r>
    </w:p>
    <w:p>
      <w:pPr>
        <w:pStyle w:val="Compact"/>
        <w:numPr>
          <w:ilvl w:val="0"/>
          <w:numId w:val="1015"/>
        </w:numPr>
      </w:pPr>
      <w:r>
        <w:rPr>
          <w:rFonts w:hint="eastAsia"/>
        </w:rPr>
        <w:t xml:space="preserve">甲は、成果物の納入を受けた日から[14]日以内(以下「検収期間」という。)に、成果物が仕様書に適合しているかどうかを検査する。</w:t>
      </w:r>
    </w:p>
    <w:p>
      <w:pPr>
        <w:pStyle w:val="Compact"/>
        <w:numPr>
          <w:ilvl w:val="0"/>
          <w:numId w:val="1015"/>
        </w:numPr>
      </w:pPr>
      <w:r>
        <w:rPr>
          <w:rFonts w:hint="eastAsia"/>
        </w:rPr>
        <w:t xml:space="preserve">甲は、検収期間内に、成果物の合否を書面又は電磁的方法により乙に通知する。</w:t>
      </w:r>
    </w:p>
    <w:p>
      <w:pPr>
        <w:pStyle w:val="Compact"/>
        <w:numPr>
          <w:ilvl w:val="0"/>
          <w:numId w:val="1015"/>
        </w:numPr>
      </w:pPr>
      <w:r>
        <w:rPr>
          <w:rFonts w:hint="eastAsia"/>
        </w:rPr>
        <w:t xml:space="preserve">甲が検収期間内に前項の通知をしないときは、当該検収期間の満了をもって成果物が検収に合格したものとみなす。</w:t>
      </w:r>
    </w:p>
    <w:p>
      <w:pPr>
        <w:pStyle w:val="Compact"/>
        <w:numPr>
          <w:ilvl w:val="0"/>
          <w:numId w:val="1015"/>
        </w:numPr>
      </w:pPr>
      <w:r>
        <w:rPr>
          <w:rFonts w:hint="eastAsia"/>
        </w:rPr>
        <w:t xml:space="preserve">検収不合格の通知を受けた場合、乙は、甲が指定する相当の期間内に、自己の費用と責任において、成果物を補修又は再納入し、改めて検収を求めるものとする。</w:t>
      </w:r>
    </w:p>
    <w:p>
      <w:pPr>
        <w:pStyle w:val="Compact"/>
        <w:numPr>
          <w:ilvl w:val="0"/>
          <w:numId w:val="1015"/>
        </w:numPr>
      </w:pPr>
      <w:r>
        <w:rPr>
          <w:rFonts w:hint="eastAsia"/>
        </w:rPr>
        <w:t xml:space="preserve">検収不合格の理由が、甲の指示又は甲の提供した資料・データに起因する場合、乙は前項の責任を負わず、追加対応については別途協議の上、合意するものとする。</w:t>
      </w:r>
    </w:p>
    <w:p/>
    <w:p>
      <w:pPr>
        <w:pStyle w:val="Heading3"/>
      </w:pPr>
      <w:r>
        <w:rPr>
          <w:rFonts w:hint="eastAsia"/>
        </w:rPr>
        <w:t xml:space="preserve">第9条(契約不適合責任)</w:t>
      </w:r>
    </w:p>
    <w:p>
      <w:pPr>
        <w:pStyle w:val="Compact"/>
        <w:numPr>
          <w:ilvl w:val="0"/>
          <w:numId w:val="1016"/>
        </w:numPr>
      </w:pPr>
      <w:r>
        <w:rPr>
          <w:rFonts w:hint="eastAsia"/>
        </w:rPr>
        <w:t xml:space="preserve">検収完了後[6]か月以内に、成果物に契約の内容に適合しない事項(以下「契約不適合」という。)が発見された場合、甲は乙に対し、相当の期間を定めて、目的物の修補による履行の追完を請求することができる。</w:t>
      </w:r>
    </w:p>
    <w:p>
      <w:pPr>
        <w:pStyle w:val="Compact"/>
        <w:numPr>
          <w:ilvl w:val="0"/>
          <w:numId w:val="1016"/>
        </w:numPr>
      </w:pPr>
      <w:r>
        <w:rPr>
          <w:rFonts w:hint="eastAsia"/>
        </w:rPr>
        <w:t xml:space="preserve">甲が前項に定める相当の期間内に履行の追完がないときは、その不適合の程度に応じて代金の減額を請求することができる。</w:t>
      </w:r>
    </w:p>
    <w:p>
      <w:pPr>
        <w:pStyle w:val="Compact"/>
        <w:numPr>
          <w:ilvl w:val="0"/>
          <w:numId w:val="1016"/>
        </w:numPr>
      </w:pPr>
      <w:r>
        <w:rPr>
          <w:rFonts w:hint="eastAsia"/>
        </w:rPr>
        <w:t xml:space="preserve">契約不適合が乙の責に帰すべき事由による場合、甲は乙に対し、これによって甲に生じた損害の賠償を請求することができる。</w:t>
      </w:r>
    </w:p>
    <w:p>
      <w:pPr>
        <w:pStyle w:val="Compact"/>
        <w:numPr>
          <w:ilvl w:val="0"/>
          <w:numId w:val="1016"/>
        </w:numPr>
      </w:pPr>
      <w:r>
        <w:rPr>
          <w:rFonts w:hint="eastAsia"/>
        </w:rPr>
        <w:t xml:space="preserve">契約不適合が、甲の指示、甲の提供した資料・データ、又は第三者ソフトウェアの不具合に起因する場合、乙は本条に基づく責任を負わない。</w:t>
      </w:r>
    </w:p>
    <w:p/>
    <w:p>
      <w:pPr>
        <w:pStyle w:val="Heading3"/>
      </w:pPr>
      <w:r>
        <w:rPr>
          <w:rFonts w:hint="eastAsia"/>
        </w:rPr>
        <w:t xml:space="preserve">第10条(知的財産権の帰属)</w:t>
      </w:r>
    </w:p>
    <w:p>
      <w:pPr>
        <w:pStyle w:val="Compact"/>
        <w:numPr>
          <w:ilvl w:val="0"/>
          <w:numId w:val="1017"/>
        </w:numPr>
      </w:pPr>
      <w:r>
        <w:rPr>
          <w:rFonts w:hint="eastAsia"/>
        </w:rPr>
        <w:t xml:space="preserve">成果物に関する著作権(著作権法第27条及び第28条に定める権利を含む。)その他一切の知的財産権(以下「知的財産権」という。)は、甲による請負代金の完済をもって、乙から甲に譲渡されるものとする。ただし、第3項に定める乙留保分は除く。</w:t>
      </w:r>
    </w:p>
    <w:p>
      <w:pPr>
        <w:pStyle w:val="Compact"/>
        <w:numPr>
          <w:ilvl w:val="0"/>
          <w:numId w:val="1017"/>
        </w:numPr>
      </w:pPr>
      <w:r>
        <w:rPr>
          <w:rFonts w:hint="eastAsia"/>
        </w:rPr>
        <w:t xml:space="preserve">乙は、甲及び甲が指定する第三者に対し、成果物に関する著作者人格権を行使しない。</w:t>
      </w:r>
    </w:p>
    <w:p>
      <w:pPr>
        <w:pStyle w:val="Compact"/>
        <w:numPr>
          <w:ilvl w:val="0"/>
          <w:numId w:val="1017"/>
        </w:numPr>
      </w:pPr>
      <w:r>
        <w:rPr>
          <w:rFonts w:hint="eastAsia"/>
        </w:rPr>
        <w:t xml:space="preserve">前2項にかかわらず、以下に該当する知的財産権は乙に留保される。</w:t>
      </w:r>
    </w:p>
    <w:p>
      <w:pPr>
        <w:pStyle w:val="Compact"/>
        <w:numPr>
          <w:ilvl w:val="1"/>
          <w:numId w:val="1018"/>
        </w:numPr>
      </w:pPr>
      <w:r>
        <w:rPr>
          <w:rFonts w:hint="eastAsia"/>
        </w:rPr>
        <w:t xml:space="preserve">乙が本件業務の遂行前から有していた知的財産権</w:t>
      </w:r>
    </w:p>
    <w:p>
      <w:pPr>
        <w:pStyle w:val="Compact"/>
        <w:numPr>
          <w:ilvl w:val="1"/>
          <w:numId w:val="1018"/>
        </w:numPr>
      </w:pPr>
      <w:r>
        <w:rPr>
          <w:rFonts w:hint="eastAsia"/>
        </w:rPr>
        <w:t xml:space="preserve">本件業務とは独立して開発された汎用的な技術、ノウハウ、ライブラリ、フレームワーク、モジュール等に係る知的財産権</w:t>
      </w:r>
    </w:p>
    <w:p>
      <w:pPr>
        <w:pStyle w:val="Compact"/>
        <w:numPr>
          <w:ilvl w:val="1"/>
          <w:numId w:val="1018"/>
        </w:numPr>
      </w:pPr>
      <w:r>
        <w:rPr>
          <w:rFonts w:hint="eastAsia"/>
        </w:rPr>
        <w:t xml:space="preserve">第11条に定めるOSSその他の第三者の知的財産権</w:t>
      </w:r>
    </w:p>
    <w:p>
      <w:pPr>
        <w:pStyle w:val="Compact"/>
        <w:numPr>
          <w:ilvl w:val="0"/>
          <w:numId w:val="1017"/>
        </w:numPr>
      </w:pPr>
      <w:r>
        <w:rPr>
          <w:rFonts w:hint="eastAsia"/>
        </w:rPr>
        <w:t xml:space="preserve">乙は、甲に対し、本件業務の遂行及び成果物の利用に必要な範囲で、前項の留保された知的財産権の利用を許諾する。</w:t>
      </w:r>
    </w:p>
    <w:p/>
    <w:p>
      <w:pPr>
        <w:pStyle w:val="Heading3"/>
      </w:pPr>
      <w:r>
        <w:rPr>
          <w:rFonts w:hint="eastAsia"/>
        </w:rPr>
        <w:t xml:space="preserve">第11条(OSS・第三者ソフトウェアの取扱い)</w:t>
      </w:r>
    </w:p>
    <w:p>
      <w:pPr>
        <w:pStyle w:val="Compact"/>
        <w:numPr>
          <w:ilvl w:val="0"/>
          <w:numId w:val="1019"/>
        </w:numPr>
      </w:pPr>
      <w:r>
        <w:rPr>
          <w:rFonts w:hint="eastAsia"/>
        </w:rPr>
        <w:t xml:space="preserve">乙は、成果物にOSSを利用する場合、当該OSSの名称、バージョン、ライセンスの種類及び利用条件を、別紙OSSリストとして甲に提示するものとする。</w:t>
      </w:r>
    </w:p>
    <w:p>
      <w:pPr>
        <w:pStyle w:val="Compact"/>
        <w:numPr>
          <w:ilvl w:val="0"/>
          <w:numId w:val="1019"/>
        </w:numPr>
      </w:pPr>
      <w:r>
        <w:rPr>
          <w:rFonts w:hint="eastAsia"/>
        </w:rPr>
        <w:t xml:space="preserve">乙は、OSSの利用に際し、当該OSSのライセンス条件を遵守する義務を負う。</w:t>
      </w:r>
    </w:p>
    <w:p>
      <w:pPr>
        <w:pStyle w:val="Compact"/>
        <w:numPr>
          <w:ilvl w:val="0"/>
          <w:numId w:val="1019"/>
        </w:numPr>
      </w:pPr>
      <w:r>
        <w:rPr>
          <w:rFonts w:hint="eastAsia"/>
        </w:rPr>
        <w:t xml:space="preserve">乙は、成果物に第三者から提供を受けたソフトウェア(有償・無償を問わない。)を組み込む場合、事前に甲に対しその旨を通知し、必要なライセンスを取得するものとする。</w:t>
      </w:r>
    </w:p>
    <w:p>
      <w:pPr>
        <w:pStyle w:val="Compact"/>
        <w:numPr>
          <w:ilvl w:val="0"/>
          <w:numId w:val="1019"/>
        </w:numPr>
      </w:pPr>
      <w:r>
        <w:rPr>
          <w:rFonts w:hint="eastAsia"/>
        </w:rPr>
        <w:t xml:space="preserve">OSS又は第三者ソフトウェアのライセンス違反が発覚した場合の責任分担については、甲乙誠実に協議の上、決定する。</w:t>
      </w:r>
    </w:p>
    <w:p/>
    <w:p>
      <w:pPr>
        <w:pStyle w:val="Heading3"/>
      </w:pPr>
      <w:r>
        <w:rPr>
          <w:rFonts w:hint="eastAsia"/>
        </w:rPr>
        <w:t xml:space="preserve">第12条(再委託)</w:t>
      </w:r>
    </w:p>
    <w:p>
      <w:pPr>
        <w:pStyle w:val="Compact"/>
        <w:numPr>
          <w:ilvl w:val="0"/>
          <w:numId w:val="1020"/>
        </w:numPr>
      </w:pPr>
      <w:r>
        <w:rPr>
          <w:rFonts w:hint="eastAsia"/>
        </w:rPr>
        <w:t xml:space="preserve">乙は、甲の事前の書面又は電磁的方法による承諾を得ることなく、本件業務の全部又は一部を第三者に再委託してはならない。</w:t>
      </w:r>
    </w:p>
    <w:p>
      <w:pPr>
        <w:pStyle w:val="Compact"/>
        <w:numPr>
          <w:ilvl w:val="0"/>
          <w:numId w:val="1020"/>
        </w:numPr>
      </w:pPr>
      <w:r>
        <w:rPr>
          <w:rFonts w:hint="eastAsia"/>
        </w:rPr>
        <w:t xml:space="preserve">乙が前項に基づき再委託する場合、乙は、再委託先に対し、本契約に基づき乙が負うのと同等の義務を遵守させるものとし、再委託先の行為について甲に対し責任を負う。</w:t>
      </w:r>
    </w:p>
    <w:p/>
    <w:p>
      <w:pPr>
        <w:pStyle w:val="Heading3"/>
      </w:pPr>
      <w:r>
        <w:rPr>
          <w:rFonts w:hint="eastAsia"/>
        </w:rPr>
        <w:t xml:space="preserve">第13条(秘密保持)</w:t>
      </w:r>
    </w:p>
    <w:p>
      <w:pPr>
        <w:pStyle w:val="Compact"/>
        <w:numPr>
          <w:ilvl w:val="0"/>
          <w:numId w:val="1021"/>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21"/>
        </w:numPr>
      </w:pPr>
      <w:r>
        <w:rPr>
          <w:rFonts w:hint="eastAsia"/>
        </w:rPr>
        <w:t xml:space="preserve">前項の規定にかかわらず、以下の各号のいずれかに該当する情報は、秘密情報に該当しないものとする。</w:t>
      </w:r>
    </w:p>
    <w:p>
      <w:pPr>
        <w:pStyle w:val="Compact"/>
        <w:numPr>
          <w:ilvl w:val="1"/>
          <w:numId w:val="1022"/>
        </w:numPr>
      </w:pPr>
      <w:r>
        <w:rPr>
          <w:rFonts w:hint="eastAsia"/>
        </w:rPr>
        <w:t xml:space="preserve">開示の時点で既に公知である情報</w:t>
      </w:r>
    </w:p>
    <w:p>
      <w:pPr>
        <w:pStyle w:val="Compact"/>
        <w:numPr>
          <w:ilvl w:val="1"/>
          <w:numId w:val="1022"/>
        </w:numPr>
      </w:pPr>
      <w:r>
        <w:rPr>
          <w:rFonts w:hint="eastAsia"/>
        </w:rPr>
        <w:t xml:space="preserve">開示後に自己の責によらず公知となった情報</w:t>
      </w:r>
    </w:p>
    <w:p>
      <w:pPr>
        <w:pStyle w:val="Compact"/>
        <w:numPr>
          <w:ilvl w:val="1"/>
          <w:numId w:val="1022"/>
        </w:numPr>
      </w:pPr>
      <w:r>
        <w:rPr>
          <w:rFonts w:hint="eastAsia"/>
        </w:rPr>
        <w:t xml:space="preserve">開示の時点で既に自己が正当に保有していた情報</w:t>
      </w:r>
    </w:p>
    <w:p>
      <w:pPr>
        <w:pStyle w:val="Compact"/>
        <w:numPr>
          <w:ilvl w:val="1"/>
          <w:numId w:val="1022"/>
        </w:numPr>
      </w:pPr>
      <w:r>
        <w:rPr>
          <w:rFonts w:hint="eastAsia"/>
        </w:rPr>
        <w:t xml:space="preserve">正当な権限を有する第三者から守秘義務を負うことなく適法に取得した情報</w:t>
      </w:r>
    </w:p>
    <w:p>
      <w:pPr>
        <w:pStyle w:val="Compact"/>
        <w:numPr>
          <w:ilvl w:val="1"/>
          <w:numId w:val="1022"/>
        </w:numPr>
      </w:pPr>
      <w:r>
        <w:rPr>
          <w:rFonts w:hint="eastAsia"/>
        </w:rPr>
        <w:t xml:space="preserve">相手方から開示を受けた情報によらず独自に開発した情報</w:t>
      </w:r>
    </w:p>
    <w:p>
      <w:pPr>
        <w:pStyle w:val="Compact"/>
        <w:numPr>
          <w:ilvl w:val="0"/>
          <w:numId w:val="1021"/>
        </w:numPr>
      </w:pPr>
      <w:r>
        <w:rPr>
          <w:rFonts w:hint="eastAsia"/>
        </w:rPr>
        <w:t xml:space="preserve">本条の規定は、本契約終了後も[3]年間有効に存続する。</w:t>
      </w:r>
    </w:p>
    <w:p/>
    <w:p>
      <w:pPr>
        <w:pStyle w:val="Heading3"/>
      </w:pPr>
      <w:r>
        <w:rPr>
          <w:rFonts w:hint="eastAsia"/>
        </w:rPr>
        <w:t xml:space="preserve">第14条(個人情報の取扱い)</w:t>
      </w:r>
    </w:p>
    <w:p>
      <w:pPr>
        <w:pStyle w:val="Compact"/>
        <w:numPr>
          <w:ilvl w:val="0"/>
          <w:numId w:val="1023"/>
        </w:numPr>
      </w:pPr>
      <w:r>
        <w:rPr>
          <w:rFonts w:hint="eastAsia"/>
        </w:rPr>
        <w:t xml:space="preserve">乙は、本件業務において個人情報の保護に関する法律に定める個人情報を取り扱う場合、同法その他関係法令及び甲が別途定める個人情報取扱規程を遵守し、適切な安全管理措置を講じるものとする。</w:t>
      </w:r>
    </w:p>
    <w:p>
      <w:pPr>
        <w:pStyle w:val="Compact"/>
        <w:numPr>
          <w:ilvl w:val="0"/>
          <w:numId w:val="1023"/>
        </w:numPr>
      </w:pPr>
      <w:r>
        <w:rPr>
          <w:rFonts w:hint="eastAsia"/>
        </w:rPr>
        <w:t xml:space="preserve">乙は、甲の事前の書面又は電磁的方法による承諾なく、個人情報を本契約の履行以外の目的に使用し、又は第三者に提供してはならない。</w:t>
      </w:r>
    </w:p>
    <w:p/>
    <w:p>
      <w:pPr>
        <w:pStyle w:val="Heading3"/>
      </w:pPr>
      <w:r>
        <w:rPr>
          <w:rFonts w:hint="eastAsia"/>
        </w:rPr>
        <w:t xml:space="preserve">第15条(セキュリティ要件)</w:t>
      </w:r>
    </w:p>
    <w:p>
      <w:pPr>
        <w:pStyle w:val="Compact"/>
        <w:numPr>
          <w:ilvl w:val="0"/>
          <w:numId w:val="1024"/>
        </w:numPr>
      </w:pPr>
      <w:r>
        <w:rPr>
          <w:rFonts w:hint="eastAsia"/>
        </w:rPr>
        <w:t xml:space="preserve">乙は、成果物のセキュリティ確保について、業界標準のガイドライン(IPAの公表する「安全なウェブサイトの作り方」その他関連ガイドライン等)を参照し、必要な対策を講じるものとする。</w:t>
      </w:r>
    </w:p>
    <w:p>
      <w:pPr>
        <w:pStyle w:val="Compact"/>
        <w:numPr>
          <w:ilvl w:val="0"/>
          <w:numId w:val="1024"/>
        </w:numPr>
      </w:pPr>
      <w:r>
        <w:rPr>
          <w:rFonts w:hint="eastAsia"/>
        </w:rPr>
        <w:t xml:space="preserve">検収完了後、成果物にセキュリティ上の脆弱性が発見された場合の対応方針については、第9条(契約不適合責任)に基づき対応するものとし、その他の事項については甲乙協議の上、決定する。</w:t>
      </w:r>
    </w:p>
    <w:p/>
    <w:p>
      <w:pPr>
        <w:pStyle w:val="Heading3"/>
      </w:pPr>
      <w:r>
        <w:rPr>
          <w:rFonts w:hint="eastAsia"/>
        </w:rPr>
        <w:t xml:space="preserve">第16条(反社会的勢力の排除)</w:t>
      </w:r>
    </w:p>
    <w:p>
      <w:pPr>
        <w:pStyle w:val="Compact"/>
        <w:numPr>
          <w:ilvl w:val="0"/>
          <w:numId w:val="1025"/>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5"/>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第17条(解除)</w:t>
      </w:r>
    </w:p>
    <w:p>
      <w:pPr>
        <w:pStyle w:val="Compact"/>
        <w:numPr>
          <w:ilvl w:val="0"/>
          <w:numId w:val="1026"/>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26"/>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27"/>
        </w:numPr>
      </w:pPr>
      <w:r>
        <w:rPr>
          <w:rFonts w:hint="eastAsia"/>
        </w:rPr>
        <w:t xml:space="preserve">支払停止又は支払不能の状態に陥ったとき</w:t>
      </w:r>
    </w:p>
    <w:p>
      <w:pPr>
        <w:pStyle w:val="Compact"/>
        <w:numPr>
          <w:ilvl w:val="1"/>
          <w:numId w:val="1027"/>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27"/>
        </w:numPr>
      </w:pPr>
      <w:r>
        <w:rPr>
          <w:rFonts w:hint="eastAsia"/>
        </w:rPr>
        <w:t xml:space="preserve">差押え、仮差押え、仮処分、租税滞納処分その他公権力の処分を受けたとき</w:t>
      </w:r>
    </w:p>
    <w:p>
      <w:pPr>
        <w:pStyle w:val="Compact"/>
        <w:numPr>
          <w:ilvl w:val="1"/>
          <w:numId w:val="1027"/>
        </w:numPr>
      </w:pPr>
      <w:r>
        <w:rPr>
          <w:rFonts w:hint="eastAsia"/>
        </w:rPr>
        <w:t xml:space="preserve">その他本契約を継続することが困難と認められる重大な事由が発生したとき</w:t>
      </w:r>
    </w:p>
    <w:p>
      <w:pPr>
        <w:pStyle w:val="Compact"/>
        <w:numPr>
          <w:ilvl w:val="0"/>
          <w:numId w:val="1026"/>
        </w:numPr>
      </w:pPr>
      <w:r>
        <w:rPr>
          <w:rFonts w:hint="eastAsia"/>
        </w:rPr>
        <w:t xml:space="preserve">本条による契約解除は、解除した当事者の損害賠償請求を妨げない。</w:t>
      </w:r>
    </w:p>
    <w:p/>
    <w:p>
      <w:pPr>
        <w:pStyle w:val="Heading3"/>
      </w:pPr>
      <w:r>
        <w:rPr>
          <w:rFonts w:hint="eastAsia"/>
        </w:rPr>
        <w:t xml:space="preserve">第18条(損害賠償)</w:t>
      </w:r>
    </w:p>
    <w:p>
      <w:pPr>
        <w:pStyle w:val="Compact"/>
        <w:numPr>
          <w:ilvl w:val="0"/>
          <w:numId w:val="1028"/>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28"/>
        </w:numPr>
      </w:pPr>
      <w:r>
        <w:rPr>
          <w:rFonts w:hint="eastAsia"/>
        </w:rPr>
        <w:t xml:space="preserve">前項に基づく損害賠償の総額は、賠償の原因となる事由が発生した時点までに支払われた又は支払われるべき請負代金の額を上限とする。ただし、損害が故意又は重大な過失に起因する場合はこの限りでない。</w:t>
      </w:r>
    </w:p>
    <w:p/>
    <w:p>
      <w:pPr>
        <w:pStyle w:val="Heading3"/>
      </w:pPr>
      <w:r>
        <w:rPr>
          <w:rFonts w:hint="eastAsia"/>
        </w:rPr>
        <w:t xml:space="preserve">第19条(不可抗力)</w:t>
      </w:r>
    </w:p>
    <w:p>
      <w:pPr>
        <w:pStyle w:val="Compact"/>
        <w:numPr>
          <w:ilvl w:val="0"/>
          <w:numId w:val="1029"/>
        </w:numPr>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Pr>
        <w:pStyle w:val="Compact"/>
        <w:numPr>
          <w:ilvl w:val="0"/>
          <w:numId w:val="1029"/>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第20条(権利義務の譲渡禁止)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第21条(存続条項)</w:t>
      </w:r>
    </w:p>
    <w:p>
      <w:pPr>
        <w:pStyle w:val="FirstParagraph"/>
      </w:pPr>
      <w:r>
        <w:rPr>
          <w:rFonts w:hint="eastAsia"/>
        </w:rPr>
        <w:t xml:space="preserve">本契約終了後も、第9条(契約不適合責任)、第10条(知的財産権の帰属)、第11条(OSS・第三者ソフトウェアの取扱い)、第13条(秘密保持)、第14条(個人情報の取扱い)、第18条(損害賠償)、第22条(合意管轄)及び第23条(協議事項)の規定は引き続き有効とする。</w:t>
      </w:r>
    </w:p>
    <w:p/>
    <w:p>
      <w:pPr>
        <w:pStyle w:val="Heading3"/>
      </w:pPr>
      <w:r>
        <w:rPr>
          <w:rFonts w:hint="eastAsia"/>
        </w:rPr>
        <w:t xml:space="preserve">第22条(合意管轄)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p>
      <w:pPr>
        <w:pStyle w:val="Heading3"/>
      </w:pPr>
      <w:r>
        <w:rPr>
          <w:rFonts w:hint="eastAsia"/>
        </w:rPr>
        <w:t xml:space="preserve">第23条(協議事項)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委託者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受託者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
      <w:pPr>
        <w:pStyle w:val="Heading2"/>
      </w:pPr>
      <w:r>
        <w:rPr>
          <w:rFonts w:hint="eastAsia"/>
        </w:rPr>
        <w:t xml:space="preserve">別紙仕様書(参考フォーマット)</w:t>
      </w:r>
    </w:p>
    <w:p>
      <w:pPr>
        <w:pStyle w:val="FirstParagraph"/>
      </w:pPr>
      <w:r>
        <w:rPr>
          <w:rFonts w:hint="eastAsia"/>
        </w:rPr>
        <w:t xml:space="preserve">本契約第3条に基づき、本件業務の詳細を以下のとおり定める。</w:t>
      </w:r>
    </w:p>
    <w:p>
      <w:pPr>
        <w:pStyle w:val="Compact"/>
        <w:numPr>
          <w:ilvl w:val="0"/>
          <w:numId w:val="1030"/>
        </w:numPr>
      </w:pPr>
      <w:r>
        <w:rPr>
          <w:rFonts w:hint="eastAsia"/>
          <w:b/>
          <w:bCs/>
        </w:rPr>
        <w:t xml:space="preserve">システム名称</w:t>
      </w:r>
      <w:r>
        <w:rPr>
          <w:rFonts w:hint="eastAsia"/>
        </w:rPr>
        <w:t xml:space="preserve">:[システム名]</w:t>
      </w:r>
    </w:p>
    <w:p>
      <w:pPr>
        <w:pStyle w:val="Compact"/>
        <w:numPr>
          <w:ilvl w:val="0"/>
          <w:numId w:val="1030"/>
        </w:numPr>
      </w:pPr>
      <w:r>
        <w:rPr>
          <w:rFonts w:hint="eastAsia"/>
          <w:b/>
          <w:bCs/>
        </w:rPr>
        <w:t xml:space="preserve">システムの目的</w:t>
      </w:r>
      <w:r>
        <w:rPr>
          <w:rFonts w:hint="eastAsia"/>
        </w:rPr>
        <w:t xml:space="preserve">:[システムの目的・解決する課題]</w:t>
      </w:r>
    </w:p>
    <w:p>
      <w:pPr>
        <w:pStyle w:val="Compact"/>
        <w:numPr>
          <w:ilvl w:val="0"/>
          <w:numId w:val="1030"/>
        </w:numPr>
      </w:pPr>
      <w:r>
        <w:rPr>
          <w:rFonts w:hint="eastAsia"/>
          <w:b/>
          <w:bCs/>
        </w:rPr>
        <w:t xml:space="preserve">機能要件</w:t>
      </w:r>
      <w:r>
        <w:t xml:space="preserve">:</w:t>
      </w:r>
    </w:p>
    <w:p>
      <w:pPr>
        <w:pStyle w:val="Compact"/>
        <w:numPr>
          <w:ilvl w:val="1"/>
          <w:numId w:val="1031"/>
        </w:numPr>
      </w:pPr>
      <w:r>
        <w:rPr>
          <w:rFonts w:hint="eastAsia"/>
        </w:rPr>
        <w:t xml:space="preserve">[機能1の概要・詳細仕様]</w:t>
      </w:r>
    </w:p>
    <w:p>
      <w:pPr>
        <w:pStyle w:val="Compact"/>
        <w:numPr>
          <w:ilvl w:val="1"/>
          <w:numId w:val="1031"/>
        </w:numPr>
      </w:pPr>
      <w:r>
        <w:rPr>
          <w:rFonts w:hint="eastAsia"/>
        </w:rPr>
        <w:t xml:space="preserve">[機能2の概要・詳細仕様]</w:t>
      </w:r>
    </w:p>
    <w:p>
      <w:pPr>
        <w:pStyle w:val="Compact"/>
        <w:numPr>
          <w:ilvl w:val="1"/>
          <w:numId w:val="1031"/>
        </w:numPr>
      </w:pPr>
      <w:r>
        <w:rPr>
          <w:rFonts w:hint="eastAsia"/>
        </w:rPr>
        <w:t xml:space="preserve">[機能3の概要・詳細仕様]</w:t>
      </w:r>
    </w:p>
    <w:p>
      <w:pPr>
        <w:pStyle w:val="Compact"/>
        <w:numPr>
          <w:ilvl w:val="0"/>
          <w:numId w:val="1030"/>
        </w:numPr>
      </w:pPr>
      <w:r>
        <w:rPr>
          <w:rFonts w:hint="eastAsia"/>
          <w:b/>
          <w:bCs/>
        </w:rPr>
        <w:t xml:space="preserve">非機能要件</w:t>
      </w:r>
      <w:r>
        <w:t xml:space="preserve">:</w:t>
      </w:r>
    </w:p>
    <w:p>
      <w:pPr>
        <w:pStyle w:val="Compact"/>
        <w:numPr>
          <w:ilvl w:val="1"/>
          <w:numId w:val="1032"/>
        </w:numPr>
      </w:pPr>
      <w:r>
        <w:rPr>
          <w:rFonts w:hint="eastAsia"/>
        </w:rPr>
        <w:t xml:space="preserve">性能要件:[応答時間・同時接続数等]</w:t>
      </w:r>
    </w:p>
    <w:p>
      <w:pPr>
        <w:pStyle w:val="Compact"/>
        <w:numPr>
          <w:ilvl w:val="1"/>
          <w:numId w:val="1032"/>
        </w:numPr>
      </w:pPr>
      <w:r>
        <w:rPr>
          <w:rFonts w:hint="eastAsia"/>
        </w:rPr>
        <w:t xml:space="preserve">可用性要件:[稼働率・冗長化要件等]</w:t>
      </w:r>
    </w:p>
    <w:p>
      <w:pPr>
        <w:pStyle w:val="Compact"/>
        <w:numPr>
          <w:ilvl w:val="1"/>
          <w:numId w:val="1032"/>
        </w:numPr>
      </w:pPr>
      <w:r>
        <w:rPr>
          <w:rFonts w:hint="eastAsia"/>
        </w:rPr>
        <w:t xml:space="preserve">セキュリティ要件:[認証方式・暗号化・脆弱性対策等]</w:t>
      </w:r>
    </w:p>
    <w:p>
      <w:pPr>
        <w:pStyle w:val="Compact"/>
        <w:numPr>
          <w:ilvl w:val="1"/>
          <w:numId w:val="1032"/>
        </w:numPr>
      </w:pPr>
      <w:r>
        <w:rPr>
          <w:rFonts w:hint="eastAsia"/>
        </w:rPr>
        <w:t xml:space="preserve">拡張性要件:[将来の機能拡張への対応]</w:t>
      </w:r>
    </w:p>
    <w:p>
      <w:pPr>
        <w:pStyle w:val="Compact"/>
        <w:numPr>
          <w:ilvl w:val="0"/>
          <w:numId w:val="1030"/>
        </w:numPr>
      </w:pPr>
      <w:r>
        <w:rPr>
          <w:rFonts w:hint="eastAsia"/>
          <w:b/>
          <w:bCs/>
        </w:rPr>
        <w:t xml:space="preserve">技術要件</w:t>
      </w:r>
      <w:r>
        <w:t xml:space="preserve">:</w:t>
      </w:r>
    </w:p>
    <w:p>
      <w:pPr>
        <w:pStyle w:val="Compact"/>
        <w:numPr>
          <w:ilvl w:val="1"/>
          <w:numId w:val="1033"/>
        </w:numPr>
      </w:pPr>
      <w:r>
        <w:rPr>
          <w:rFonts w:hint="eastAsia"/>
        </w:rPr>
        <w:t xml:space="preserve">使用言語・フレームワーク:[Java、Python、React等]</w:t>
      </w:r>
    </w:p>
    <w:p>
      <w:pPr>
        <w:pStyle w:val="Compact"/>
        <w:numPr>
          <w:ilvl w:val="1"/>
          <w:numId w:val="1033"/>
        </w:numPr>
      </w:pPr>
      <w:r>
        <w:rPr>
          <w:rFonts w:hint="eastAsia"/>
        </w:rPr>
        <w:t xml:space="preserve">データベース:[MySQL、PostgreSQL等]</w:t>
      </w:r>
    </w:p>
    <w:p>
      <w:pPr>
        <w:pStyle w:val="Compact"/>
        <w:numPr>
          <w:ilvl w:val="1"/>
          <w:numId w:val="1033"/>
        </w:numPr>
      </w:pPr>
      <w:r>
        <w:rPr>
          <w:rFonts w:hint="eastAsia"/>
        </w:rPr>
        <w:t xml:space="preserve">動作環境:[OS、ブラウザ要件等]</w:t>
      </w:r>
    </w:p>
    <w:p>
      <w:pPr>
        <w:pStyle w:val="Compact"/>
        <w:numPr>
          <w:ilvl w:val="0"/>
          <w:numId w:val="1030"/>
        </w:numPr>
      </w:pPr>
      <w:r>
        <w:rPr>
          <w:rFonts w:hint="eastAsia"/>
          <w:b/>
          <w:bCs/>
        </w:rPr>
        <w:t xml:space="preserve">成果物の仕様</w:t>
      </w:r>
      <w:r>
        <w:t xml:space="preserve">:</w:t>
      </w:r>
    </w:p>
    <w:p>
      <w:pPr>
        <w:pStyle w:val="Compact"/>
        <w:numPr>
          <w:ilvl w:val="1"/>
          <w:numId w:val="1034"/>
        </w:numPr>
      </w:pPr>
      <w:r>
        <w:rPr>
          <w:rFonts w:hint="eastAsia"/>
        </w:rPr>
        <w:t xml:space="preserve">プログラム本体:[実行モジュール、ソースコード一式]</w:t>
      </w:r>
    </w:p>
    <w:p>
      <w:pPr>
        <w:pStyle w:val="Compact"/>
        <w:numPr>
          <w:ilvl w:val="1"/>
          <w:numId w:val="1034"/>
        </w:numPr>
      </w:pPr>
      <w:r>
        <w:rPr>
          <w:rFonts w:hint="eastAsia"/>
        </w:rPr>
        <w:t xml:space="preserve">設計書:[基本設計書、詳細設計書]</w:t>
      </w:r>
    </w:p>
    <w:p>
      <w:pPr>
        <w:pStyle w:val="Compact"/>
        <w:numPr>
          <w:ilvl w:val="1"/>
          <w:numId w:val="1034"/>
        </w:numPr>
      </w:pPr>
      <w:r>
        <w:rPr>
          <w:rFonts w:hint="eastAsia"/>
        </w:rPr>
        <w:t xml:space="preserve">テスト結果:[単体テスト・結合テスト・システムテストの結果報告書]</w:t>
      </w:r>
    </w:p>
    <w:p>
      <w:pPr>
        <w:pStyle w:val="Compact"/>
        <w:numPr>
          <w:ilvl w:val="1"/>
          <w:numId w:val="1034"/>
        </w:numPr>
      </w:pPr>
      <w:r>
        <w:rPr>
          <w:rFonts w:hint="eastAsia"/>
        </w:rPr>
        <w:t xml:space="preserve">マニュアル:[運用マニュアル・操作マニュアル]</w:t>
      </w:r>
    </w:p>
    <w:p>
      <w:pPr>
        <w:pStyle w:val="Compact"/>
        <w:numPr>
          <w:ilvl w:val="0"/>
          <w:numId w:val="1030"/>
        </w:numPr>
      </w:pPr>
      <w:r>
        <w:rPr>
          <w:rFonts w:hint="eastAsia"/>
          <w:b/>
          <w:bCs/>
        </w:rPr>
        <w:t xml:space="preserve">検収基準</w:t>
      </w:r>
      <w:r>
        <w:t xml:space="preserve">:</w:t>
      </w:r>
    </w:p>
    <w:p>
      <w:pPr>
        <w:pStyle w:val="Compact"/>
        <w:numPr>
          <w:ilvl w:val="1"/>
          <w:numId w:val="1035"/>
        </w:numPr>
      </w:pPr>
      <w:r>
        <w:rPr>
          <w:rFonts w:hint="eastAsia"/>
        </w:rPr>
        <w:t xml:space="preserve">仕様書記載の全機能が動作すること</w:t>
      </w:r>
    </w:p>
    <w:p>
      <w:pPr>
        <w:pStyle w:val="Compact"/>
        <w:numPr>
          <w:ilvl w:val="1"/>
          <w:numId w:val="1035"/>
        </w:numPr>
      </w:pPr>
      <w:r>
        <w:rPr>
          <w:rFonts w:hint="eastAsia"/>
        </w:rPr>
        <w:t xml:space="preserve">テスト項目すべて合格すること</w:t>
      </w:r>
    </w:p>
    <w:p>
      <w:pPr>
        <w:pStyle w:val="Compact"/>
        <w:numPr>
          <w:ilvl w:val="1"/>
          <w:numId w:val="1035"/>
        </w:numPr>
      </w:pPr>
      <w:r>
        <w:rPr>
          <w:rFonts w:hint="eastAsia"/>
        </w:rPr>
        <w:t xml:space="preserve">性能要件を満たすこと</w:t>
      </w:r>
    </w:p>
    <w:p>
      <w:pPr>
        <w:pStyle w:val="Compact"/>
        <w:numPr>
          <w:ilvl w:val="0"/>
          <w:numId w:val="1030"/>
        </w:numPr>
      </w:pPr>
      <w:r>
        <w:rPr>
          <w:b/>
          <w:bCs/>
        </w:rPr>
        <w:t xml:space="preserve">マイルストーン</w:t>
      </w:r>
      <w:r>
        <w:t xml:space="preserve">:</w:t>
      </w:r>
    </w:p>
    <w:p>
      <w:pPr>
        <w:pStyle w:val="Compact"/>
        <w:numPr>
          <w:ilvl w:val="1"/>
          <w:numId w:val="1036"/>
        </w:numPr>
      </w:pPr>
      <w:r>
        <w:rPr>
          <w:rFonts w:hint="eastAsia"/>
        </w:rPr>
        <w:t xml:space="preserve">基本設計レビュー:[YYYY年MM月DD日]</w:t>
      </w:r>
    </w:p>
    <w:p>
      <w:pPr>
        <w:pStyle w:val="Compact"/>
        <w:numPr>
          <w:ilvl w:val="1"/>
          <w:numId w:val="1036"/>
        </w:numPr>
      </w:pPr>
      <w:r>
        <w:rPr>
          <w:rFonts w:hint="eastAsia"/>
        </w:rPr>
        <w:t xml:space="preserve">詳細設計レビュー:[YYYY年MM月DD日]</w:t>
      </w:r>
    </w:p>
    <w:p>
      <w:pPr>
        <w:pStyle w:val="Compact"/>
        <w:numPr>
          <w:ilvl w:val="1"/>
          <w:numId w:val="1036"/>
        </w:numPr>
      </w:pPr>
      <w:r>
        <w:rPr>
          <w:rFonts w:hint="eastAsia"/>
        </w:rPr>
        <w:t xml:space="preserve">実装完了報告:[YYYY年MM月DD日]</w:t>
      </w:r>
    </w:p>
    <w:p>
      <w:pPr>
        <w:pStyle w:val="Compact"/>
        <w:numPr>
          <w:ilvl w:val="1"/>
          <w:numId w:val="1036"/>
        </w:numPr>
      </w:pPr>
      <w:r>
        <w:rPr>
          <w:rFonts w:hint="eastAsia"/>
        </w:rPr>
        <w:t xml:space="preserve">テスト完了報告:[YYYY年MM月DD日]</w:t>
      </w:r>
    </w:p>
    <w:p>
      <w:pPr>
        <w:pStyle w:val="Compact"/>
        <w:numPr>
          <w:ilvl w:val="1"/>
          <w:numId w:val="1036"/>
        </w:numPr>
      </w:pPr>
      <w:r>
        <w:rPr>
          <w:rFonts w:hint="eastAsia"/>
        </w:rPr>
        <w:t xml:space="preserve">最終納品:[YYYY年MM月DD日]</w:t>
      </w:r>
    </w:p>
    <w:p/>
    <w:p>
      <w:pPr>
        <w:pStyle w:val="Heading2"/>
      </w:pPr>
      <w:r>
        <w:rPr>
          <w:rFonts w:hint="eastAsia"/>
        </w:rPr>
        <w:t xml:space="preserve">別紙OSSリスト(参考フォーマット)</w:t>
      </w:r>
    </w:p>
    <w:p>
      <w:pPr>
        <w:pStyle w:val="FirstParagraph"/>
      </w:pPr>
      <w:r>
        <w:rPr>
          <w:rFonts w:hint="eastAsia"/>
        </w:rPr>
        <w:t xml:space="preserve">本契約第11条に基づき、成果物に利用するOSSは以下のとおり。</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OSS名称</w:t>
            </w:r>
          </w:p>
        </w:tc>
        <w:tc>
          <w:tcPr/>
          <w:p>
            <w:pPr>
              <w:pStyle w:val="Compact"/>
            </w:pPr>
            <w:r>
              <w:t xml:space="preserve">バージョン</w:t>
            </w:r>
          </w:p>
        </w:tc>
        <w:tc>
          <w:tcPr/>
          <w:p>
            <w:pPr>
              <w:pStyle w:val="Compact"/>
            </w:pPr>
            <w:r>
              <w:rPr>
                <w:rFonts w:hint="eastAsia"/>
              </w:rPr>
              <w:t xml:space="preserve">ライセンス種別</w:t>
            </w:r>
          </w:p>
        </w:tc>
        <w:tc>
          <w:tcPr/>
          <w:p>
            <w:pPr>
              <w:pStyle w:val="Compact"/>
            </w:pPr>
            <w:r>
              <w:rPr>
                <w:rFonts w:hint="eastAsia"/>
              </w:rPr>
              <w:t xml:space="preserve">利用目的</w:t>
            </w:r>
          </w:p>
        </w:tc>
      </w:tr>
      <w:tr>
        <w:tc>
          <w:tcPr/>
          <w:p>
            <w:pPr>
              <w:pStyle w:val="Compact"/>
            </w:pPr>
            <w:r>
              <w:t xml:space="preserve">1</w:t>
            </w:r>
          </w:p>
        </w:tc>
        <w:tc>
          <w:tcPr/>
          <w:p>
            <w:pPr>
              <w:pStyle w:val="Compact"/>
            </w:pPr>
            <w:r>
              <w:rPr>
                <w:rFonts w:hint="eastAsia"/>
              </w:rPr>
              <w:t xml:space="preserve">[OSS名]</w:t>
            </w:r>
          </w:p>
        </w:tc>
        <w:tc>
          <w:tcPr/>
          <w:p>
            <w:pPr>
              <w:pStyle w:val="Compact"/>
            </w:pPr>
            <w:r>
              <w:t xml:space="preserve">[バージョン]</w:t>
            </w:r>
          </w:p>
        </w:tc>
        <w:tc>
          <w:tcPr/>
          <w:p>
            <w:pPr>
              <w:pStyle w:val="Compact"/>
            </w:pPr>
            <w:r>
              <w:t xml:space="preserve">[MIT/Apache </w:t>
            </w:r>
            <w:r>
              <w:rPr>
                <w:rFonts w:hint="eastAsia"/>
              </w:rPr>
              <w:t xml:space="preserve">2.0/GPL等]</w:t>
            </w:r>
          </w:p>
        </w:tc>
        <w:tc>
          <w:tcPr/>
          <w:p>
            <w:pPr>
              <w:pStyle w:val="Compact"/>
            </w:pPr>
            <w:r>
              <w:rPr>
                <w:rFonts w:hint="eastAsia"/>
              </w:rPr>
              <w:t xml:space="preserve">[利用目的]</w:t>
            </w:r>
          </w:p>
        </w:tc>
      </w:tr>
      <w:tr>
        <w:tc>
          <w:tcPr/>
          <w:p>
            <w:pPr>
              <w:pStyle w:val="Compact"/>
            </w:pPr>
            <w:r>
              <w:t xml:space="preserve">2</w:t>
            </w:r>
          </w:p>
        </w:tc>
        <w:tc>
          <w:tcPr/>
          <w:p>
            <w:pPr>
              <w:pStyle w:val="Compact"/>
            </w:pPr>
            <w:r>
              <w:rPr>
                <w:rFonts w:hint="eastAsia"/>
              </w:rPr>
              <w:t xml:space="preserve">[OSS名]</w:t>
            </w:r>
          </w:p>
        </w:tc>
        <w:tc>
          <w:tcPr/>
          <w:p>
            <w:pPr>
              <w:pStyle w:val="Compact"/>
            </w:pPr>
            <w:r>
              <w:t xml:space="preserve">[バージョン]</w:t>
            </w:r>
          </w:p>
        </w:tc>
        <w:tc>
          <w:tcPr/>
          <w:p>
            <w:pPr>
              <w:pStyle w:val="Compact"/>
            </w:pPr>
            <w:r>
              <w:rPr>
                <w:rFonts w:hint="eastAsia"/>
              </w:rPr>
              <w:t xml:space="preserve">[ライセンス種別]</w:t>
            </w:r>
          </w:p>
        </w:tc>
        <w:tc>
          <w:tcPr/>
          <w:p>
            <w:pPr>
              <w:pStyle w:val="Compact"/>
            </w:pPr>
            <w:r>
              <w:rPr>
                <w:rFonts w:hint="eastAsia"/>
              </w:rPr>
              <w:t xml:space="preserve">[利用目的]</w:t>
            </w:r>
          </w:p>
        </w:tc>
      </w:tr>
    </w:tbl>
    <w:p/>
    <w:p>
      <w:pPr>
        <w:pStyle w:val="Heading2"/>
      </w:pPr>
      <w:r>
        <w:rPr>
          <w:rFonts w:hint="eastAsia"/>
        </w:rPr>
        <w:t xml:space="preserve">印紙税について</w:t>
      </w:r>
    </w:p>
    <w:p>
      <w:pPr>
        <w:pStyle w:val="FirstParagraph"/>
      </w:pPr>
      <w:r>
        <w:rPr>
          <w:rFonts w:hint="eastAsia"/>
        </w:rPr>
        <w:t xml:space="preserve">本契約書(請負契約書)は、印紙税法上の</w:t>
      </w:r>
      <w:r>
        <w:rPr>
          <w:rFonts w:hint="eastAsia"/>
          <w:b/>
          <w:bCs/>
        </w:rPr>
        <w:t xml:space="preserve">第2号文書(請負に関する契約書)</w:t>
      </w:r>
      <w:r>
        <w:rPr>
          <w:rFonts w:hint="eastAsia"/>
        </w:rPr>
        <w:t xml:space="preserve">又は</w:t>
      </w:r>
      <w:r>
        <w:rPr>
          <w:rFonts w:hint="eastAsia"/>
          <w:b/>
          <w:bCs/>
        </w:rPr>
        <w:t xml:space="preserve">第7号文書(継続的取引の基本となる契約書)</w:t>
      </w:r>
      <w:r>
        <w:rPr>
          <w:rFonts w:hint="eastAsia"/>
        </w:rPr>
        <w:t xml:space="preserve">に該当し、契約金額に応じて以下の印紙税が課されます(2026年5月時点の本則税額の例)。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印紙税額(第2号文書</w:t>
            </w:r>
            <w:r>
              <w:t xml:space="preserve"> </w:t>
            </w:r>
            <w:r>
              <w:rPr>
                <w:rFonts w:hint="eastAsia"/>
              </w:rPr>
              <w:t xml:space="preserve">本則)</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100万円超〜200万円以下</w:t>
            </w:r>
          </w:p>
        </w:tc>
        <w:tc>
          <w:tcPr/>
          <w:p>
            <w:pPr>
              <w:pStyle w:val="Compact"/>
            </w:pPr>
            <w:r>
              <w:rPr>
                <w:rFonts w:hint="eastAsia"/>
              </w:rPr>
              <w:t xml:space="preserve">400円</w:t>
            </w:r>
          </w:p>
        </w:tc>
      </w:tr>
      <w:tr>
        <w:tc>
          <w:tcPr/>
          <w:p>
            <w:pPr>
              <w:pStyle w:val="Compact"/>
            </w:pPr>
            <w:r>
              <w:rPr>
                <w:rFonts w:hint="eastAsia"/>
              </w:rPr>
              <w:t xml:space="preserve">500万円超〜1,000万円以下</w:t>
            </w:r>
          </w:p>
        </w:tc>
        <w:tc>
          <w:tcPr/>
          <w:p>
            <w:pPr>
              <w:pStyle w:val="Compact"/>
            </w:pPr>
            <w:r>
              <w:rPr>
                <w:rFonts w:hint="eastAsia"/>
              </w:rPr>
              <w:t xml:space="preserve">1万円</w:t>
            </w:r>
          </w:p>
        </w:tc>
      </w:tr>
      <w:tr>
        <w:tc>
          <w:tcPr/>
          <w:p>
            <w:pPr>
              <w:pStyle w:val="Compact"/>
            </w:pPr>
            <w:r>
              <w:rPr>
                <w:rFonts w:hint="eastAsia"/>
              </w:rPr>
              <w:t xml:space="preserve">1,000万円超〜5,000万円以下</w:t>
            </w:r>
          </w:p>
        </w:tc>
        <w:tc>
          <w:tcPr/>
          <w:p>
            <w:pPr>
              <w:pStyle w:val="Compact"/>
            </w:pPr>
            <w:r>
              <w:rPr>
                <w:rFonts w:hint="eastAsia"/>
              </w:rPr>
              <w:t xml:space="preserve">2万円</w:t>
            </w:r>
          </w:p>
        </w:tc>
      </w:tr>
      <w:tr>
        <w:tc>
          <w:tcPr/>
          <w:p>
            <w:pPr>
              <w:pStyle w:val="Compact"/>
            </w:pPr>
            <w:r>
              <w:rPr>
                <w:rFonts w:hint="eastAsia"/>
              </w:rPr>
              <w:t xml:space="preserve">5,000万円超〜1億円以下</w:t>
            </w:r>
          </w:p>
        </w:tc>
        <w:tc>
          <w:tcPr/>
          <w:p>
            <w:pPr>
              <w:pStyle w:val="Compact"/>
            </w:pPr>
            <w:r>
              <w:rPr>
                <w:rFonts w:hint="eastAsia"/>
              </w:rPr>
              <w:t xml:space="preserve">6万円</w:t>
            </w:r>
          </w:p>
        </w:tc>
      </w:tr>
      <w:tr>
        <w:tc>
          <w:tcPr/>
          <w:p>
            <w:pPr>
              <w:pStyle w:val="Compact"/>
            </w:pPr>
            <w:r>
              <w:rPr>
                <w:rFonts w:hint="eastAsia"/>
              </w:rPr>
              <w:t xml:space="preserve">1億円超〜5億円以下</w:t>
            </w:r>
          </w:p>
        </w:tc>
        <w:tc>
          <w:tcPr/>
          <w:p>
            <w:pPr>
              <w:pStyle w:val="Compact"/>
            </w:pPr>
            <w:r>
              <w:rPr>
                <w:rFonts w:hint="eastAsia"/>
              </w:rPr>
              <w:t xml:space="preserve">10万円</w:t>
            </w:r>
          </w:p>
        </w:tc>
      </w:tr>
    </w:tbl>
    <w:p>
      <w:pPr>
        <w:pStyle w:val="BodyText"/>
      </w:pPr>
      <w:r>
        <w:rPr>
          <w:rFonts w:hint="eastAsia"/>
        </w:rPr>
        <w:t xml:space="preserve">※継続的取引の基本契約書(第7号文書)に該当する場合は、契約金額にかかわらず一律4,000円。</w:t>
      </w:r>
      <w:r>
        <w:rPr>
          <w:rFonts w:hint="eastAsia"/>
        </w:rPr>
        <w:br/>
      </w:r>
      <w:r>
        <w:rPr>
          <w:rFonts w:hint="eastAsia"/>
        </w:rPr>
        <w:t xml:space="preserve">※最新税額は国税庁のホームページで必ずご確認ください。</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システム開発契約は金額の大きい契約が多いため、電子契約の活用により</w:t>
      </w:r>
      <w:r>
        <w:rPr>
          <w:rFonts w:hint="eastAsia"/>
          <w:b/>
          <w:bCs/>
        </w:rPr>
        <w:t xml:space="preserve">1件あたり数千円〜数十万円の節税効果</w:t>
      </w:r>
      <w:r>
        <w:rPr>
          <w:rFonts w:hint="eastAsia"/>
        </w:rPr>
        <w:t xml:space="preserve">が生まれます。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34">
    <w:nsid w:val="00A9943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2026-06-16T00:52:12Z</dcterms:created>
  <dcterms:modified xsi:type="dcterms:W3CDTF">2026-06-16T00:52:12Z</dcterms:modified>
</cp:coreProperties>
</file>

<file path=docProps/custom.xml><?xml version="1.0" encoding="utf-8"?>
<Properties xmlns="http://schemas.openxmlformats.org/officeDocument/2006/custom-properties" xmlns:vt="http://schemas.openxmlformats.org/officeDocument/2006/docPropsVTypes"/>
</file>