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販売店契約書"/>
    <w:p>
      <w:pPr>
        <w:pStyle w:val="Heading1"/>
      </w:pPr>
      <w:r>
        <w:rPr>
          <w:rFonts w:hint="eastAsia"/>
        </w:rPr>
        <w:t xml:space="preserve">販売店契約書</w:t>
      </w:r>
    </w:p>
    <w:p>
      <w:pPr>
        <w:pStyle w:val="BlockText"/>
      </w:pPr>
      <w:r>
        <w:rPr>
          <w:rFonts w:hint="eastAsia"/>
          <w:b/>
          <w:bCs/>
        </w:rPr>
        <w:t xml:space="preserve">※本テンプレートは弁護士監修ですが、個別案件に応じた修正が必要です。販売店契約は独占禁止法の規律対象です。重要な契約は弁護士にご相談ください。</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甲の正式名称(例:○○株式会社・メーカー)</w:t>
        </w:r>
      </w:hyperlink>
      <w:r>
        <w:t xml:space="preserve">と</w:t>
      </w:r>
      <w:hyperlink r:id="rId10">
        <w:r>
          <w:rPr>
            <w:rStyle w:val="Hyperlink"/>
            <w:rFonts w:hint="eastAsia"/>
          </w:rPr>
          <w:t xml:space="preserve">乙の正式名称(例:○○株式会社・販売店)</w:t>
        </w:r>
      </w:hyperlink>
      <w:r>
        <w:rPr>
          <w:rFonts w:hint="eastAsia"/>
        </w:rPr>
        <w:t xml:space="preserve">は、甲が製造又は販売する商品の販売に関する取引について、以下のとおり販売店契約(以下「本契約」という。)を締結する。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本契約の目的を明確化する条文です。乙が「自己の名義・自己の計算」で再販売することを明示することで、代理店契約(本人のために行為する契約)との違いをはっきりさせます。</w:t>
      </w:r>
    </w:p>
    <w:p>
      <w:pPr>
        <w:pStyle w:val="BodyText"/>
      </w:pPr>
      <w:r>
        <w:rPr>
          <w:rFonts w:hint="eastAsia"/>
        </w:rPr>
        <w:t xml:space="preserve">本契約は、甲が乙に対し、別紙「商品一覧」記載の商品(以下「本商品」という。)を継続的に供給し、乙が本商品を自己の名義及び自己の計算で第三者(以下「顧客」という。)に再販売する取引に関する基本的事項を定めることを目的とする。</w:t>
      </w:r>
    </w:p>
    <w:p>
      <w:r>
        <w:pict>
          <v:rect style="width:0;height:1.5pt" o:hralign="center" o:hrstd="t" o:hr="t"/>
        </w:pict>
      </w:r>
    </w:p>
    <w:bookmarkEnd w:id="12"/>
    <w:bookmarkStart w:id="13" w:name="第2条定義"/>
    <w:p>
      <w:pPr>
        <w:pStyle w:val="Heading2"/>
      </w:pPr>
      <w:r>
        <w:rPr>
          <w:rFonts w:hint="eastAsia"/>
        </w:rPr>
        <w:t xml:space="preserve">第2条(定義)</w:t>
      </w:r>
    </w:p>
    <w:p>
      <w:pPr>
        <w:pStyle w:val="FirstParagraph"/>
      </w:pPr>
      <w:r>
        <w:rPr>
          <w:rFonts w:hint="eastAsia"/>
          <w:b/>
          <w:bCs/>
        </w:rPr>
        <w:t xml:space="preserve">【解説】</w:t>
      </w:r>
      <w:r>
        <w:t xml:space="preserve"> </w:t>
      </w:r>
      <w:r>
        <w:rPr>
          <w:rFonts w:hint="eastAsia"/>
        </w:rPr>
        <w:t xml:space="preserve">本契約で頻出する用語を冒頭で定義することで、解釈ブレを防ぎます。販売店契約特有の概念(販売地域・独占権等)を整理。</w:t>
      </w:r>
    </w:p>
    <w:p>
      <w:pPr>
        <w:pStyle w:val="BodyText"/>
      </w:pPr>
      <w:r>
        <w:rPr>
          <w:rFonts w:hint="eastAsia"/>
        </w:rPr>
        <w:t xml:space="preserve">本契約において使用する用語の定義は、次の各号に定めるとおりとする。</w:t>
      </w:r>
    </w:p>
    <w:p>
      <w:pPr>
        <w:pStyle w:val="Compact"/>
        <w:numPr>
          <w:ilvl w:val="0"/>
          <w:numId w:val="1001"/>
        </w:numPr>
      </w:pPr>
      <w:r>
        <w:rPr>
          <w:rFonts w:hint="eastAsia"/>
        </w:rPr>
        <w:t xml:space="preserve">「本商品」とは、別紙「商品一覧」に記載する甲が製造又は販売する商品をいう。</w:t>
      </w:r>
    </w:p>
    <w:p>
      <w:pPr>
        <w:pStyle w:val="Compact"/>
        <w:numPr>
          <w:ilvl w:val="0"/>
          <w:numId w:val="1001"/>
        </w:numPr>
      </w:pPr>
      <w:r>
        <w:rPr>
          <w:rFonts w:hint="eastAsia"/>
        </w:rPr>
        <w:t xml:space="preserve">「販売地域」とは、第4条に定める乙が本商品を販売する地域をいう。</w:t>
      </w:r>
    </w:p>
    <w:p>
      <w:pPr>
        <w:pStyle w:val="Compact"/>
        <w:numPr>
          <w:ilvl w:val="0"/>
          <w:numId w:val="1001"/>
        </w:numPr>
      </w:pPr>
      <w:r>
        <w:rPr>
          <w:rFonts w:hint="eastAsia"/>
        </w:rPr>
        <w:t xml:space="preserve">「個別売買契約」とは、本契約に基づき本商品の個別売買について甲乙間で締結する契約をいう。</w:t>
      </w:r>
    </w:p>
    <w:p>
      <w:r>
        <w:pict>
          <v:rect style="width:0;height:1.5pt" o:hralign="center" o:hrstd="t" o:hr="t"/>
        </w:pict>
      </w:r>
    </w:p>
    <w:bookmarkEnd w:id="13"/>
    <w:bookmarkStart w:id="14" w:name="第3条対象商品"/>
    <w:p>
      <w:pPr>
        <w:pStyle w:val="Heading2"/>
      </w:pPr>
      <w:r>
        <w:rPr>
          <w:rFonts w:hint="eastAsia"/>
        </w:rPr>
        <w:t xml:space="preserve">第3条(対象商品)</w:t>
      </w:r>
    </w:p>
    <w:p>
      <w:pPr>
        <w:pStyle w:val="FirstParagraph"/>
      </w:pPr>
      <w:r>
        <w:rPr>
          <w:rFonts w:hint="eastAsia"/>
          <w:b/>
          <w:bCs/>
        </w:rPr>
        <w:t xml:space="preserve">【解説】</w:t>
      </w:r>
      <w:r>
        <w:t xml:space="preserve"> </w:t>
      </w:r>
      <w:r>
        <w:rPr>
          <w:rFonts w:hint="eastAsia"/>
        </w:rPr>
        <w:t xml:space="preserve">販売店契約の核となる条文です。対象商品の特定が曖昧だと業務範囲をめぐる紛争の原因に。新商品の追加・廃止時の手続きも併せて規定します。</w:t>
      </w:r>
    </w:p>
    <w:p>
      <w:pPr>
        <w:numPr>
          <w:ilvl w:val="0"/>
          <w:numId w:val="1002"/>
        </w:numPr>
      </w:pPr>
      <w:r>
        <w:rPr>
          <w:rFonts w:hint="eastAsia"/>
        </w:rPr>
        <w:t xml:space="preserve">本契約に基づき甲が乙に供給する本商品は、別紙「商品一覧」記載のとおりとする。別紙には、品名・型番・品番・希望小売価格等を明記する。</w:t>
      </w:r>
    </w:p>
    <w:p>
      <w:pPr>
        <w:numPr>
          <w:ilvl w:val="0"/>
          <w:numId w:val="1002"/>
        </w:numPr>
      </w:pPr>
      <w:r>
        <w:rPr>
          <w:rFonts w:hint="eastAsia"/>
        </w:rPr>
        <w:t xml:space="preserve">甲は、新商品の追加又は既存商品の廃止を行う場合、合理的な期間内に乙に通知し、別紙を改定するものとする。</w:t>
      </w:r>
    </w:p>
    <w:p>
      <w:r>
        <w:pict>
          <v:rect style="width:0;height:1.5pt" o:hralign="center" o:hrstd="t" o:hr="t"/>
        </w:pict>
      </w:r>
    </w:p>
    <w:bookmarkEnd w:id="14"/>
    <w:bookmarkStart w:id="15" w:name="第4条販売地域"/>
    <w:p>
      <w:pPr>
        <w:pStyle w:val="Heading2"/>
      </w:pPr>
      <w:r>
        <w:rPr>
          <w:rFonts w:hint="eastAsia"/>
        </w:rPr>
        <w:t xml:space="preserve">第4条(販売地域)</w:t>
      </w:r>
    </w:p>
    <w:p>
      <w:pPr>
        <w:pStyle w:val="FirstParagraph"/>
      </w:pPr>
      <w:r>
        <w:rPr>
          <w:rFonts w:hint="eastAsia"/>
          <w:b/>
          <w:bCs/>
        </w:rPr>
        <w:t xml:space="preserve">【解説】</w:t>
      </w:r>
      <w:r>
        <w:t xml:space="preserve"> </w:t>
      </w:r>
      <w:r>
        <w:rPr>
          <w:rFonts w:hint="eastAsia"/>
        </w:rPr>
        <w:t xml:space="preserve">販売地域(テリトリー)を定める条文。独占禁止法上、「テリトリー外への能動的販売の制限」は許容されますが、「顧客の自発的注文への応答制限」は問題となります。</w:t>
      </w:r>
    </w:p>
    <w:p>
      <w:pPr>
        <w:pStyle w:val="Compact"/>
        <w:numPr>
          <w:ilvl w:val="0"/>
          <w:numId w:val="1003"/>
        </w:numPr>
      </w:pPr>
      <w:r>
        <w:rPr>
          <w:rFonts w:hint="eastAsia"/>
        </w:rPr>
        <w:t xml:space="preserve">乙は、次の地域(以下「販売地域」という。)において、本商品の販売を行うものとする。</w:t>
      </w:r>
    </w:p>
    <w:p>
      <w:pPr>
        <w:pStyle w:val="FirstParagraph"/>
      </w:pPr>
      <w:r>
        <w:rPr>
          <w:rFonts w:hint="eastAsia"/>
        </w:rPr>
        <w:t xml:space="preserve">[販売地域を具体的に記載(例:日本国内全域</w:t>
      </w:r>
      <w:r>
        <w:t xml:space="preserve"> / </w:t>
      </w:r>
      <w:r>
        <w:rPr>
          <w:rFonts w:hint="eastAsia"/>
        </w:rPr>
        <w:t xml:space="preserve">関東地区(東京都・神奈川県・千葉県・埼玉県)</w:t>
      </w:r>
      <w:r>
        <w:t xml:space="preserve"> / </w:t>
      </w:r>
      <w:r>
        <w:rPr>
          <w:rFonts w:hint="eastAsia"/>
        </w:rPr>
        <w:t xml:space="preserve">○○県内</w:t>
      </w:r>
      <w:r>
        <w:t xml:space="preserve"> </w:t>
      </w:r>
      <w:r>
        <w:rPr>
          <w:rFonts w:hint="eastAsia"/>
        </w:rPr>
        <w:t xml:space="preserve">等)]</w:t>
      </w:r>
    </w:p>
    <w:p>
      <w:pPr>
        <w:numPr>
          <w:ilvl w:val="0"/>
          <w:numId w:val="1004"/>
        </w:numPr>
      </w:pPr>
      <w:r>
        <w:rPr>
          <w:rFonts w:hint="eastAsia"/>
        </w:rPr>
        <w:t xml:space="preserve">乙は、販売地域外への積極的(能動的)な販売活動を行ってはならない。</w:t>
      </w:r>
    </w:p>
    <w:p>
      <w:pPr>
        <w:numPr>
          <w:ilvl w:val="0"/>
          <w:numId w:val="1004"/>
        </w:numPr>
      </w:pPr>
      <w:r>
        <w:rPr>
          <w:rFonts w:hint="eastAsia"/>
        </w:rPr>
        <w:t xml:space="preserve">前項にかかわらず、販売地域外の顧客からの自発的な注文(乙の積極的な販売活動に起因しないもの)に応じることは、これを妨げない。</w:t>
      </w:r>
    </w:p>
    <w:p>
      <w:r>
        <w:pict>
          <v:rect style="width:0;height:1.5pt" o:hralign="center" o:hrstd="t" o:hr="t"/>
        </w:pict>
      </w:r>
    </w:p>
    <w:bookmarkEnd w:id="15"/>
    <w:bookmarkStart w:id="16" w:name="第5条独占販売権"/>
    <w:p>
      <w:pPr>
        <w:pStyle w:val="Heading2"/>
      </w:pPr>
      <w:r>
        <w:rPr>
          <w:rFonts w:hint="eastAsia"/>
        </w:rPr>
        <w:t xml:space="preserve">第5条(独占販売権)</w:t>
      </w:r>
    </w:p>
    <w:p>
      <w:pPr>
        <w:pStyle w:val="FirstParagraph"/>
      </w:pPr>
      <w:r>
        <w:rPr>
          <w:rFonts w:hint="eastAsia"/>
          <w:b/>
          <w:bCs/>
        </w:rPr>
        <w:t xml:space="preserve">【解説】</w:t>
      </w:r>
      <w:r>
        <w:t xml:space="preserve"> </w:t>
      </w:r>
      <w:r>
        <w:rPr>
          <w:rFonts w:hint="eastAsia"/>
        </w:rPr>
        <w:t xml:space="preserve">販売店契約の重要論点です。独占権を付与するか否かを明示します。独占権を付与する場合は、第10条の最低購入数量とセットで設計することが実務的です。</w:t>
      </w:r>
    </w:p>
    <w:p>
      <w:pPr>
        <w:pStyle w:val="BodyText"/>
      </w:pPr>
      <w:r>
        <w:rPr>
          <w:rFonts w:hint="eastAsia"/>
        </w:rPr>
        <w:t xml:space="preserve">【選択肢A:独占販売権を付与する場合】</w:t>
      </w:r>
    </w:p>
    <w:p>
      <w:pPr>
        <w:numPr>
          <w:ilvl w:val="0"/>
          <w:numId w:val="1005"/>
        </w:numPr>
      </w:pPr>
      <w:r>
        <w:rPr>
          <w:rFonts w:hint="eastAsia"/>
        </w:rPr>
        <w:t xml:space="preserve">甲は、乙に対し、本契約期間中、販売地域において本商品を販売する独占的権利(以下「独占販売権」という。)を付与する。</w:t>
      </w:r>
    </w:p>
    <w:p>
      <w:pPr>
        <w:numPr>
          <w:ilvl w:val="0"/>
          <w:numId w:val="1005"/>
        </w:numPr>
      </w:pPr>
      <w:r>
        <w:rPr>
          <w:rFonts w:hint="eastAsia"/>
        </w:rPr>
        <w:t xml:space="preserve">甲は、本契約期間中、販売地域内において、自ら又は乙以外の第三者を通じて本商品を販売しないものとする。</w:t>
      </w:r>
    </w:p>
    <w:p>
      <w:pPr>
        <w:numPr>
          <w:ilvl w:val="0"/>
          <w:numId w:val="1005"/>
        </w:numPr>
      </w:pPr>
      <w:r>
        <w:rPr>
          <w:rFonts w:hint="eastAsia"/>
        </w:rPr>
        <w:t xml:space="preserve">本独占販売権は、次のいずれかに該当する場合は失効し、本契約は非独占契約に移行する。</w:t>
      </w:r>
    </w:p>
    <w:p>
      <w:pPr>
        <w:pStyle w:val="Compact"/>
        <w:numPr>
          <w:ilvl w:val="0"/>
          <w:numId w:val="1006"/>
        </w:numPr>
      </w:pPr>
      <w:r>
        <w:rPr>
          <w:rFonts w:hint="eastAsia"/>
        </w:rPr>
        <w:t xml:space="preserve">第10条に定める最低購入数量を乙が達成しない場合</w:t>
      </w:r>
    </w:p>
    <w:p>
      <w:pPr>
        <w:pStyle w:val="Compact"/>
        <w:numPr>
          <w:ilvl w:val="0"/>
          <w:numId w:val="1006"/>
        </w:numPr>
      </w:pPr>
      <w:r>
        <w:rPr>
          <w:rFonts w:hint="eastAsia"/>
        </w:rPr>
        <w:t xml:space="preserve">乙が本契約に重大な違反を犯した場合</w:t>
      </w:r>
    </w:p>
    <w:p>
      <w:pPr>
        <w:pStyle w:val="FirstParagraph"/>
      </w:pPr>
      <w:r>
        <w:rPr>
          <w:rFonts w:hint="eastAsia"/>
        </w:rPr>
        <w:t xml:space="preserve">【選択肢B:独占販売権を付与しない場合】</w:t>
      </w:r>
    </w:p>
    <w:p>
      <w:pPr>
        <w:pStyle w:val="BodyText"/>
      </w:pPr>
      <w:r>
        <w:rPr>
          <w:rFonts w:hint="eastAsia"/>
        </w:rPr>
        <w:t xml:space="preserve">甲は、乙以外の第三者にも本商品の販売を許諾することができる。乙は、本契約により独占的販売権を取得するものではない。</w:t>
      </w:r>
    </w:p>
    <w:p>
      <w:r>
        <w:pict>
          <v:rect style="width:0;height:1.5pt" o:hralign="center" o:hrstd="t" o:hr="t"/>
        </w:pict>
      </w:r>
    </w:p>
    <w:bookmarkEnd w:id="16"/>
    <w:bookmarkStart w:id="17" w:name="第6条個別売買契約"/>
    <w:p>
      <w:pPr>
        <w:pStyle w:val="Heading2"/>
      </w:pPr>
      <w:r>
        <w:rPr>
          <w:rFonts w:hint="eastAsia"/>
        </w:rPr>
        <w:t xml:space="preserve">第6条(個別売買契約)</w:t>
      </w:r>
    </w:p>
    <w:p>
      <w:pPr>
        <w:pStyle w:val="FirstParagraph"/>
      </w:pPr>
      <w:r>
        <w:rPr>
          <w:rFonts w:hint="eastAsia"/>
          <w:b/>
          <w:bCs/>
        </w:rPr>
        <w:t xml:space="preserve">【解説】</w:t>
      </w:r>
      <w:r>
        <w:t xml:space="preserve"> </w:t>
      </w:r>
      <w:r>
        <w:rPr>
          <w:rFonts w:hint="eastAsia"/>
        </w:rPr>
        <w:t xml:space="preserve">個別取引の手続きを定めます。本契約(基本契約)と個別契約(発注・受注)の関係を明確化することで、運用がスムーズになります。</w:t>
      </w:r>
    </w:p>
    <w:p>
      <w:pPr>
        <w:numPr>
          <w:ilvl w:val="0"/>
          <w:numId w:val="1007"/>
        </w:numPr>
      </w:pPr>
      <w:r>
        <w:rPr>
          <w:rFonts w:hint="eastAsia"/>
        </w:rPr>
        <w:t xml:space="preserve">本契約に基づく本商品の個別の売買は、乙が甲に発注書(書面又は電磁的方法による電磁的記録)を交付し、甲がこれを承諾することにより成立する。</w:t>
      </w:r>
    </w:p>
    <w:p>
      <w:pPr>
        <w:numPr>
          <w:ilvl w:val="0"/>
          <w:numId w:val="1007"/>
        </w:numPr>
      </w:pPr>
      <w:r>
        <w:rPr>
          <w:rFonts w:hint="eastAsia"/>
        </w:rPr>
        <w:t xml:space="preserve">甲は、発注書を受領した後[3]営業日以内に、書面又は電磁的方法によって承諾の意思表示又は出荷予定日の通知を行うものとする。</w:t>
      </w:r>
    </w:p>
    <w:p>
      <w:pPr>
        <w:numPr>
          <w:ilvl w:val="0"/>
          <w:numId w:val="1007"/>
        </w:numPr>
      </w:pPr>
      <w:r>
        <w:rPr>
          <w:rFonts w:hint="eastAsia"/>
        </w:rPr>
        <w:t xml:space="preserve">本契約と個別売買契約の内容が矛盾する場合、本契約が優先する。ただし、個別売買契約において本契約と異なる定めをすることを明示的に合意した事項については、個別売買契約の定めが優先する。</w:t>
      </w:r>
    </w:p>
    <w:p>
      <w:r>
        <w:pict>
          <v:rect style="width:0;height:1.5pt" o:hralign="center" o:hrstd="t" o:hr="t"/>
        </w:pict>
      </w:r>
    </w:p>
    <w:bookmarkEnd w:id="17"/>
    <w:bookmarkStart w:id="18" w:name="第7条仕入価格"/>
    <w:p>
      <w:pPr>
        <w:pStyle w:val="Heading2"/>
      </w:pPr>
      <w:r>
        <w:rPr>
          <w:rFonts w:hint="eastAsia"/>
        </w:rPr>
        <w:t xml:space="preserve">第7条(仕入価格)</w:t>
      </w:r>
    </w:p>
    <w:p>
      <w:pPr>
        <w:pStyle w:val="FirstParagraph"/>
      </w:pPr>
      <w:r>
        <w:rPr>
          <w:rFonts w:hint="eastAsia"/>
          <w:b/>
          <w:bCs/>
        </w:rPr>
        <w:t xml:space="preserve">【解説】</w:t>
      </w:r>
      <w:r>
        <w:t xml:space="preserve"> </w:t>
      </w:r>
      <w:r>
        <w:rPr>
          <w:rFonts w:hint="eastAsia"/>
        </w:rPr>
        <w:t xml:space="preserve">仕入価格(卸売価格)を別紙化することで、価格改定時の柔軟性を確保します。原材料費・為替変動時の見直し条項も標準的です。</w:t>
      </w:r>
    </w:p>
    <w:p>
      <w:pPr>
        <w:numPr>
          <w:ilvl w:val="0"/>
          <w:numId w:val="1008"/>
        </w:numPr>
      </w:pPr>
      <w:r>
        <w:rPr>
          <w:rFonts w:hint="eastAsia"/>
        </w:rPr>
        <w:t xml:space="preserve">本商品の仕入価格は、別紙「価格表」記載のとおりとする。</w:t>
      </w:r>
    </w:p>
    <w:p>
      <w:pPr>
        <w:numPr>
          <w:ilvl w:val="0"/>
          <w:numId w:val="1008"/>
        </w:numPr>
      </w:pPr>
      <w:r>
        <w:rPr>
          <w:rFonts w:hint="eastAsia"/>
        </w:rPr>
        <w:t xml:space="preserve">甲は、原材料費、人件費、為替その他の経済情勢の変動により、仕入価格の改定が必要となった場合、[3]ヶ月前までに乙に通知の上、甲乙協議により新価格を決定する。</w:t>
      </w:r>
    </w:p>
    <w:p>
      <w:pPr>
        <w:numPr>
          <w:ilvl w:val="0"/>
          <w:numId w:val="1008"/>
        </w:numPr>
      </w:pPr>
      <w:r>
        <w:rPr>
          <w:rFonts w:hint="eastAsia"/>
        </w:rPr>
        <w:t xml:space="preserve">甲及び乙は、一方的に仕入価格を引き下げ又は引き上げてはならない。</w:t>
      </w:r>
    </w:p>
    <w:p>
      <w:r>
        <w:pict>
          <v:rect style="width:0;height:1.5pt" o:hralign="center" o:hrstd="t" o:hr="t"/>
        </w:pict>
      </w:r>
    </w:p>
    <w:bookmarkEnd w:id="18"/>
    <w:bookmarkStart w:id="19" w:name="第8条支払条件"/>
    <w:p>
      <w:pPr>
        <w:pStyle w:val="Heading2"/>
      </w:pPr>
      <w:r>
        <w:rPr>
          <w:rFonts w:hint="eastAsia"/>
        </w:rPr>
        <w:t xml:space="preserve">第8条(支払条件)</w:t>
      </w:r>
    </w:p>
    <w:p>
      <w:pPr>
        <w:pStyle w:val="FirstParagraph"/>
      </w:pPr>
      <w:r>
        <w:rPr>
          <w:rFonts w:hint="eastAsia"/>
          <w:b/>
          <w:bCs/>
        </w:rPr>
        <w:t xml:space="preserve">【解説】</w:t>
      </w:r>
      <w:r>
        <w:t xml:space="preserve"> </w:t>
      </w:r>
      <w:r>
        <w:rPr>
          <w:rFonts w:hint="eastAsia"/>
        </w:rPr>
        <w:t xml:space="preserve">代金支払いの締日・支払期日を明示します。継続的取引では月締め翌月末払いが実務的です。</w:t>
      </w:r>
    </w:p>
    <w:p>
      <w:pPr>
        <w:numPr>
          <w:ilvl w:val="0"/>
          <w:numId w:val="1009"/>
        </w:numPr>
      </w:pPr>
      <w:r>
        <w:rPr>
          <w:rFonts w:hint="eastAsia"/>
        </w:rPr>
        <w:t xml:space="preserve">乙は、毎月末日締めで、当月に納入を受けた本商品の代金を集計する。</w:t>
      </w:r>
    </w:p>
    <w:p>
      <w:pPr>
        <w:numPr>
          <w:ilvl w:val="0"/>
          <w:numId w:val="1009"/>
        </w:numPr>
      </w:pPr>
      <w:r>
        <w:rPr>
          <w:rFonts w:hint="eastAsia"/>
        </w:rPr>
        <w:t xml:space="preserve">乙は、前項により集計した代金を、翌月末日までに甲が指定する銀行口座に振り込む方法により支払うものとする。</w:t>
      </w:r>
    </w:p>
    <w:p>
      <w:pPr>
        <w:numPr>
          <w:ilvl w:val="0"/>
          <w:numId w:val="1009"/>
        </w:numPr>
      </w:pPr>
      <w:r>
        <w:rPr>
          <w:rFonts w:hint="eastAsia"/>
        </w:rPr>
        <w:t xml:space="preserve">振込みに要する手数料は、乙の負担とする。</w:t>
      </w:r>
    </w:p>
    <w:p>
      <w:pPr>
        <w:numPr>
          <w:ilvl w:val="0"/>
          <w:numId w:val="1009"/>
        </w:numPr>
      </w:pPr>
      <w:r>
        <w:rPr>
          <w:rFonts w:hint="eastAsia"/>
        </w:rPr>
        <w:t xml:space="preserve">乙が前項の支払期日までに代金を支払わない場合、乙は甲に対し、支払期日の翌日から支払済みまで、年[14.6]%の割合による遅延損害金を支払うものとする。</w:t>
      </w:r>
    </w:p>
    <w:p>
      <w:r>
        <w:pict>
          <v:rect style="width:0;height:1.5pt" o:hralign="center" o:hrstd="t" o:hr="t"/>
        </w:pict>
      </w:r>
    </w:p>
    <w:bookmarkEnd w:id="19"/>
    <w:bookmarkStart w:id="20" w:name="第9条納入"/>
    <w:p>
      <w:pPr>
        <w:pStyle w:val="Heading2"/>
      </w:pPr>
      <w:r>
        <w:rPr>
          <w:rFonts w:hint="eastAsia"/>
        </w:rPr>
        <w:t xml:space="preserve">第9条(納入)</w:t>
      </w:r>
    </w:p>
    <w:p>
      <w:pPr>
        <w:pStyle w:val="FirstParagraph"/>
      </w:pPr>
      <w:r>
        <w:rPr>
          <w:rFonts w:hint="eastAsia"/>
          <w:b/>
          <w:bCs/>
        </w:rPr>
        <w:t xml:space="preserve">【解説】</w:t>
      </w:r>
      <w:r>
        <w:t xml:space="preserve"> </w:t>
      </w:r>
      <w:r>
        <w:rPr>
          <w:rFonts w:hint="eastAsia"/>
        </w:rPr>
        <w:t xml:space="preserve">納入の時期・場所・運送費負担を明示します。所有権移転時期と危険負担の起算点も併せて明確化することが重要です。</w:t>
      </w:r>
    </w:p>
    <w:p>
      <w:pPr>
        <w:numPr>
          <w:ilvl w:val="0"/>
          <w:numId w:val="1010"/>
        </w:numPr>
      </w:pPr>
      <w:r>
        <w:rPr>
          <w:rFonts w:hint="eastAsia"/>
        </w:rPr>
        <w:t xml:space="preserve">甲は、個別売買契約に定める納期までに、本商品を個別売買契約に定める納入場所において乙に納入するものとする。</w:t>
      </w:r>
    </w:p>
    <w:p>
      <w:pPr>
        <w:numPr>
          <w:ilvl w:val="0"/>
          <w:numId w:val="1010"/>
        </w:numPr>
      </w:pPr>
      <w:r>
        <w:rPr>
          <w:rFonts w:hint="eastAsia"/>
        </w:rPr>
        <w:t xml:space="preserve">本商品の所有権及び危険負担は、乙への引渡し完了時に甲から乙に移転する。</w:t>
      </w:r>
    </w:p>
    <w:p>
      <w:pPr>
        <w:numPr>
          <w:ilvl w:val="0"/>
          <w:numId w:val="1010"/>
        </w:numPr>
      </w:pPr>
      <w:r>
        <w:rPr>
          <w:rFonts w:hint="eastAsia"/>
        </w:rPr>
        <w:t xml:space="preserve">本商品の運送費は、個別売買契約に別段の定めがない限り、[甲/乙]の負担とする。</w:t>
      </w:r>
    </w:p>
    <w:p>
      <w:r>
        <w:pict>
          <v:rect style="width:0;height:1.5pt" o:hralign="center" o:hrstd="t" o:hr="t"/>
        </w:pict>
      </w:r>
    </w:p>
    <w:bookmarkEnd w:id="20"/>
    <w:bookmarkStart w:id="21" w:name="第10条最低購入数量"/>
    <w:p>
      <w:pPr>
        <w:pStyle w:val="Heading2"/>
      </w:pPr>
      <w:r>
        <w:rPr>
          <w:rFonts w:hint="eastAsia"/>
        </w:rPr>
        <w:t xml:space="preserve">第10条(最低購入数量)</w:t>
      </w:r>
    </w:p>
    <w:p>
      <w:pPr>
        <w:pStyle w:val="FirstParagraph"/>
      </w:pPr>
      <w:r>
        <w:rPr>
          <w:rFonts w:hint="eastAsia"/>
          <w:b/>
          <w:bCs/>
        </w:rPr>
        <w:t xml:space="preserve">【解説】</w:t>
      </w:r>
      <w:r>
        <w:t xml:space="preserve"> </w:t>
      </w:r>
      <w:r>
        <w:rPr>
          <w:rFonts w:hint="eastAsia"/>
        </w:rPr>
        <w:t xml:space="preserve">販売店契約特有の重要条項。独占権付与の対価として最低購入数量を設定するのが実務的です。未達成時の措置は段階的に設計し、過度な違約金を避けます。</w:t>
      </w:r>
    </w:p>
    <w:p>
      <w:pPr>
        <w:numPr>
          <w:ilvl w:val="0"/>
          <w:numId w:val="1011"/>
        </w:numPr>
      </w:pPr>
      <w:r>
        <w:rPr>
          <w:rFonts w:hint="eastAsia"/>
        </w:rPr>
        <w:t xml:space="preserve">乙は、本契約期間中、年間[1,000]個(又は年間金[○○,○○○,○○○]円)以上の本商品を甲から購入することを保証する(以下「最低購入数量」という。)。</w:t>
      </w:r>
    </w:p>
    <w:p>
      <w:pPr>
        <w:numPr>
          <w:ilvl w:val="0"/>
          <w:numId w:val="1011"/>
        </w:numPr>
      </w:pPr>
      <w:r>
        <w:rPr>
          <w:rFonts w:hint="eastAsia"/>
        </w:rPr>
        <w:t xml:space="preserve">乙が前項の最低購入数量を達成しない場合、甲は乙に対し、次の措置のいずれかを選択することができる。</w:t>
      </w:r>
    </w:p>
    <w:p>
      <w:pPr>
        <w:pStyle w:val="Compact"/>
        <w:numPr>
          <w:ilvl w:val="0"/>
          <w:numId w:val="1012"/>
        </w:numPr>
      </w:pPr>
      <w:r>
        <w:rPr>
          <w:rFonts w:hint="eastAsia"/>
        </w:rPr>
        <w:t xml:space="preserve">独占販売権(第5条)の取消(以後、非独占契約に移行)</w:t>
      </w:r>
    </w:p>
    <w:p>
      <w:pPr>
        <w:pStyle w:val="Compact"/>
        <w:numPr>
          <w:ilvl w:val="0"/>
          <w:numId w:val="1012"/>
        </w:numPr>
      </w:pPr>
      <w:r>
        <w:rPr>
          <w:rFonts w:hint="eastAsia"/>
        </w:rPr>
        <w:t xml:space="preserve">本契約の更新を拒絶</w:t>
      </w:r>
    </w:p>
    <w:p>
      <w:pPr>
        <w:pStyle w:val="Compact"/>
        <w:numPr>
          <w:ilvl w:val="0"/>
          <w:numId w:val="1012"/>
        </w:numPr>
      </w:pPr>
      <w:r>
        <w:rPr>
          <w:rFonts w:hint="eastAsia"/>
        </w:rPr>
        <w:t xml:space="preserve">未達成数量に応じた合理的な精算金の支払請求</w:t>
      </w:r>
    </w:p>
    <w:p>
      <w:pPr>
        <w:numPr>
          <w:ilvl w:val="0"/>
          <w:numId w:val="1013"/>
        </w:numPr>
      </w:pPr>
      <w:r>
        <w:rPr>
          <w:rFonts w:hint="eastAsia"/>
        </w:rPr>
        <w:t xml:space="preserve">不可抗力又は甲の責めに帰すべき事由(供給遅延・出荷停止等)により乙が最低購入数量を達成できない場合、本条の措置は適用しない。</w:t>
      </w:r>
    </w:p>
    <w:p>
      <w:pPr>
        <w:numPr>
          <w:ilvl w:val="0"/>
          <w:numId w:val="1013"/>
        </w:numPr>
      </w:pPr>
      <w:r>
        <w:rPr>
          <w:rFonts w:hint="eastAsia"/>
        </w:rPr>
        <w:t xml:space="preserve">市場環境に著しい変化が生じた場合、甲乙協議の上、最低購入数量を改定することができる。</w:t>
      </w:r>
    </w:p>
    <w:p>
      <w:r>
        <w:pict>
          <v:rect style="width:0;height:1.5pt" o:hralign="center" o:hrstd="t" o:hr="t"/>
        </w:pict>
      </w:r>
    </w:p>
    <w:bookmarkEnd w:id="21"/>
    <w:bookmarkStart w:id="22" w:name="第11条再販売価格"/>
    <w:p>
      <w:pPr>
        <w:pStyle w:val="Heading2"/>
      </w:pPr>
      <w:r>
        <w:rPr>
          <w:rFonts w:hint="eastAsia"/>
        </w:rPr>
        <w:t xml:space="preserve">第11条(再販売価格)</w:t>
      </w:r>
    </w:p>
    <w:p>
      <w:pPr>
        <w:pStyle w:val="FirstParagraph"/>
      </w:pPr>
      <w:r>
        <w:rPr>
          <w:rFonts w:hint="eastAsia"/>
          <w:b/>
          <w:bCs/>
        </w:rPr>
        <w:t xml:space="preserve">【解説】</w:t>
      </w:r>
      <w:r>
        <w:t xml:space="preserve"> </w:t>
      </w:r>
      <w:r>
        <w:rPr>
          <w:rFonts w:hint="eastAsia"/>
        </w:rPr>
        <w:t xml:space="preserve">独占禁止法上の最重要条項。</w:t>
      </w:r>
      <w:r>
        <w:rPr>
          <w:rFonts w:hint="eastAsia"/>
          <w:b/>
          <w:bCs/>
        </w:rPr>
        <w:t xml:space="preserve">再販売価格の拘束は原則として独禁法違反</w:t>
      </w:r>
      <w:r>
        <w:rPr>
          <w:rFonts w:hint="eastAsia"/>
        </w:rPr>
        <w:t xml:space="preserve">(不公正な取引方法)となるため、販売店の価格決定の自由を尊重する書き方とします。</w:t>
      </w:r>
    </w:p>
    <w:p>
      <w:pPr>
        <w:numPr>
          <w:ilvl w:val="0"/>
          <w:numId w:val="1014"/>
        </w:numPr>
      </w:pPr>
      <w:r>
        <w:rPr>
          <w:rFonts w:hint="eastAsia"/>
        </w:rPr>
        <w:t xml:space="preserve">乙は、本商品の再販売価格(顧客に対する販売価格)を、自己の裁量により自由に決定するものとする。</w:t>
      </w:r>
    </w:p>
    <w:p>
      <w:pPr>
        <w:numPr>
          <w:ilvl w:val="0"/>
          <w:numId w:val="1014"/>
        </w:numPr>
      </w:pPr>
      <w:r>
        <w:rPr>
          <w:rFonts w:hint="eastAsia"/>
        </w:rPr>
        <w:t xml:space="preserve">甲は、本商品の希望小売価格を乙に対して提示することができる。ただし、当該希望小売価格は、乙の再販売価格を拘束するものではなく、参考情報として提示するにとどまる。</w:t>
      </w:r>
    </w:p>
    <w:p>
      <w:pPr>
        <w:numPr>
          <w:ilvl w:val="0"/>
          <w:numId w:val="1014"/>
        </w:numPr>
      </w:pPr>
      <w:r>
        <w:rPr>
          <w:rFonts w:hint="eastAsia"/>
        </w:rPr>
        <w:t xml:space="preserve">乙は、本商品のブランドイメージを著しく毀損するような極端な販売手法を避けるよう努めるものとする。</w:t>
      </w:r>
    </w:p>
    <w:p>
      <w:r>
        <w:pict>
          <v:rect style="width:0;height:1.5pt" o:hralign="center" o:hrstd="t" o:hr="t"/>
        </w:pict>
      </w:r>
    </w:p>
    <w:bookmarkEnd w:id="22"/>
    <w:bookmarkStart w:id="23" w:name="第12条販売促進及び商標の使用"/>
    <w:p>
      <w:pPr>
        <w:pStyle w:val="Heading2"/>
      </w:pPr>
      <w:r>
        <w:rPr>
          <w:rFonts w:hint="eastAsia"/>
        </w:rPr>
        <w:t xml:space="preserve">第12条(販売促進及び商標の使用)</w:t>
      </w:r>
    </w:p>
    <w:p>
      <w:pPr>
        <w:pStyle w:val="FirstParagraph"/>
      </w:pPr>
      <w:r>
        <w:rPr>
          <w:rFonts w:hint="eastAsia"/>
          <w:b/>
          <w:bCs/>
        </w:rPr>
        <w:t xml:space="preserve">【解説】</w:t>
      </w:r>
      <w:r>
        <w:t xml:space="preserve"> </w:t>
      </w:r>
      <w:r>
        <w:rPr>
          <w:rFonts w:hint="eastAsia"/>
        </w:rPr>
        <w:t xml:space="preserve">販売促進活動と商標使用の規律を定めます。商標の使用範囲を限定することで、ブランド保護を図ります。</w:t>
      </w:r>
    </w:p>
    <w:p>
      <w:pPr>
        <w:numPr>
          <w:ilvl w:val="0"/>
          <w:numId w:val="1015"/>
        </w:numPr>
      </w:pPr>
      <w:r>
        <w:rPr>
          <w:rFonts w:hint="eastAsia"/>
        </w:rPr>
        <w:t xml:space="preserve">乙は、本商品の販売促進のため、合理的に必要な範囲で広告宣伝活動を行うものとする。</w:t>
      </w:r>
    </w:p>
    <w:p>
      <w:pPr>
        <w:numPr>
          <w:ilvl w:val="0"/>
          <w:numId w:val="1015"/>
        </w:numPr>
      </w:pPr>
      <w:r>
        <w:rPr>
          <w:rFonts w:hint="eastAsia"/>
        </w:rPr>
        <w:t xml:space="preserve">甲は、乙に対し、本契約期間中、本商品の販売促進に必要な範囲に限り、甲の商標(以下「甲商標」という。)の使用を非独占的に許諾する。</w:t>
      </w:r>
    </w:p>
    <w:p>
      <w:pPr>
        <w:numPr>
          <w:ilvl w:val="0"/>
          <w:numId w:val="1015"/>
        </w:numPr>
      </w:pPr>
      <w:r>
        <w:rPr>
          <w:rFonts w:hint="eastAsia"/>
        </w:rPr>
        <w:t xml:space="preserve">乙は、甲商標を本契約の目的以外に使用してはならず、また甲の事前の書面による承諾なく、甲商標を改変、加工、又は許諾範囲外で使用してはならない。</w:t>
      </w:r>
    </w:p>
    <w:p>
      <w:pPr>
        <w:numPr>
          <w:ilvl w:val="0"/>
          <w:numId w:val="1015"/>
        </w:numPr>
      </w:pPr>
      <w:r>
        <w:rPr>
          <w:rFonts w:hint="eastAsia"/>
        </w:rPr>
        <w:t xml:space="preserve">乙が本商品の販売に関する独自の販促物・広告物を作成する場合、甲の事前の確認を得るものとする。</w:t>
      </w:r>
    </w:p>
    <w:p>
      <w:pPr>
        <w:numPr>
          <w:ilvl w:val="0"/>
          <w:numId w:val="1015"/>
        </w:numPr>
      </w:pPr>
      <w:r>
        <w:rPr>
          <w:rFonts w:hint="eastAsia"/>
        </w:rPr>
        <w:t xml:space="preserve">本契約終了後、乙は直ちに甲商標の使用を停止する。</w:t>
      </w:r>
    </w:p>
    <w:p>
      <w:r>
        <w:pict>
          <v:rect style="width:0;height:1.5pt" o:hralign="center" o:hrstd="t" o:hr="t"/>
        </w:pict>
      </w:r>
    </w:p>
    <w:bookmarkEnd w:id="23"/>
    <w:bookmarkStart w:id="24" w:name="第13条製品保証及び製造物責任"/>
    <w:p>
      <w:pPr>
        <w:pStyle w:val="Heading2"/>
      </w:pPr>
      <w:r>
        <w:rPr>
          <w:rFonts w:hint="eastAsia"/>
        </w:rPr>
        <w:t xml:space="preserve">第13条(製品保証及び製造物責任)</w:t>
      </w:r>
    </w:p>
    <w:p>
      <w:pPr>
        <w:pStyle w:val="FirstParagraph"/>
      </w:pPr>
      <w:r>
        <w:rPr>
          <w:rFonts w:hint="eastAsia"/>
          <w:b/>
          <w:bCs/>
        </w:rPr>
        <w:t xml:space="preserve">【解説】</w:t>
      </w:r>
      <w:r>
        <w:t xml:space="preserve"> </w:t>
      </w:r>
      <w:r>
        <w:rPr>
          <w:rFonts w:hint="eastAsia"/>
        </w:rPr>
        <w:t xml:space="preserve">製造物責任法(PL法)に基づく責任分担を明示。設計・製造上の欠陥は甲、販売店としての適切な取扱い義務は乙という分担が一般的です。</w:t>
      </w:r>
    </w:p>
    <w:p>
      <w:pPr>
        <w:numPr>
          <w:ilvl w:val="0"/>
          <w:numId w:val="1016"/>
        </w:numPr>
      </w:pPr>
      <w:r>
        <w:rPr>
          <w:rFonts w:hint="eastAsia"/>
        </w:rPr>
        <w:t xml:space="preserve">甲は、本商品が、引渡時において、別紙「商品仕様書」(該当する場合)又は通常期待される品質・性能を有することを保証する。</w:t>
      </w:r>
    </w:p>
    <w:p>
      <w:pPr>
        <w:numPr>
          <w:ilvl w:val="0"/>
          <w:numId w:val="1016"/>
        </w:numPr>
      </w:pPr>
      <w:r>
        <w:rPr>
          <w:rFonts w:hint="eastAsia"/>
        </w:rPr>
        <w:t xml:space="preserve">乙は、本商品の保管・取扱いを、甲の指示する方法及び一般的な商慣行に従い、適切に行うものとする。</w:t>
      </w:r>
    </w:p>
    <w:p>
      <w:pPr>
        <w:numPr>
          <w:ilvl w:val="0"/>
          <w:numId w:val="1016"/>
        </w:numPr>
      </w:pPr>
      <w:r>
        <w:rPr>
          <w:rFonts w:hint="eastAsia"/>
        </w:rPr>
        <w:t xml:space="preserve">本商品に起因して第三者が損害を被った場合(製造物責任法に基づく損害賠償請求を含む。)、設計上又は製造上の欠陥に起因するものは甲が責任を負い、乙の不適切な保管・取扱いに起因するものは乙が責任を負うものとする。</w:t>
      </w:r>
    </w:p>
    <w:p>
      <w:pPr>
        <w:numPr>
          <w:ilvl w:val="0"/>
          <w:numId w:val="1016"/>
        </w:numPr>
      </w:pPr>
      <w:r>
        <w:rPr>
          <w:rFonts w:hint="eastAsia"/>
        </w:rPr>
        <w:t xml:space="preserve">甲は、本商品の製造物責任に備え、生産物賠償責任保険(PL保険)に加入するものとする。</w:t>
      </w:r>
    </w:p>
    <w:p>
      <w:pPr>
        <w:numPr>
          <w:ilvl w:val="0"/>
          <w:numId w:val="1016"/>
        </w:numPr>
      </w:pPr>
      <w:r>
        <w:rPr>
          <w:rFonts w:hint="eastAsia"/>
        </w:rPr>
        <w:t xml:space="preserve">本商品に関し、第三者から損害賠償その他の請求を受けた当事者は、直ちに相手方に通知し、相互に協力して対応するものとする。</w:t>
      </w:r>
    </w:p>
    <w:p>
      <w:r>
        <w:pict>
          <v:rect style="width:0;height:1.5pt" o:hralign="center" o:hrstd="t" o:hr="t"/>
        </w:pict>
      </w:r>
    </w:p>
    <w:bookmarkEnd w:id="24"/>
    <w:bookmarkStart w:id="25" w:name="第14条契約不適合責任"/>
    <w:p>
      <w:pPr>
        <w:pStyle w:val="Heading2"/>
      </w:pPr>
      <w:r>
        <w:rPr>
          <w:rFonts w:hint="eastAsia"/>
        </w:rPr>
        <w:t xml:space="preserve">第14条(契約不適合責任)</w:t>
      </w:r>
    </w:p>
    <w:p>
      <w:pPr>
        <w:pStyle w:val="FirstParagraph"/>
      </w:pPr>
      <w:r>
        <w:rPr>
          <w:rFonts w:hint="eastAsia"/>
          <w:b/>
          <w:bCs/>
        </w:rPr>
        <w:t xml:space="preserve">【解説】</w:t>
      </w:r>
      <w:r>
        <w:t xml:space="preserve"> </w:t>
      </w:r>
      <w:r>
        <w:rPr>
          <w:rFonts w:hint="eastAsia"/>
        </w:rPr>
        <w:t xml:space="preserve">2020年民法改正に対応した条項。乙への売買(個別売買契約)の契約不適合責任を明示します。</w:t>
      </w:r>
    </w:p>
    <w:p>
      <w:pPr>
        <w:numPr>
          <w:ilvl w:val="0"/>
          <w:numId w:val="1017"/>
        </w:numPr>
      </w:pPr>
      <w:r>
        <w:rPr>
          <w:rFonts w:hint="eastAsia"/>
        </w:rPr>
        <w:t xml:space="preserve">引き渡された本商品が、種類、品質又は数量に関して本契約・個別売買契約の内容に適合しない場合(以下「契約不適合」という。)、乙は甲に対し、当該契約不適合を知った時から[6]ヶ月以内に通知することを条件として、履行の追完(代替品の引渡し、不足分の引渡し)、代金の減額、損害賠償又は本契約の解除を請求することができる。</w:t>
      </w:r>
    </w:p>
    <w:p>
      <w:pPr>
        <w:numPr>
          <w:ilvl w:val="0"/>
          <w:numId w:val="1017"/>
        </w:numPr>
      </w:pPr>
      <w:r>
        <w:rPr>
          <w:rFonts w:hint="eastAsia"/>
        </w:rPr>
        <w:t xml:space="preserve">前項にかかわらず、契約不適合が乙の責めに帰すべき事由(不適切な保管・取扱い等)による場合は、同項の請求はできないものとする。</w:t>
      </w:r>
    </w:p>
    <w:p>
      <w:r>
        <w:pict>
          <v:rect style="width:0;height:1.5pt" o:hralign="center" o:hrstd="t" o:hr="t"/>
        </w:pict>
      </w:r>
    </w:p>
    <w:bookmarkEnd w:id="25"/>
    <w:bookmarkStart w:id="26" w:name="第15条在庫及び返品"/>
    <w:p>
      <w:pPr>
        <w:pStyle w:val="Heading2"/>
      </w:pPr>
      <w:r>
        <w:rPr>
          <w:rFonts w:hint="eastAsia"/>
        </w:rPr>
        <w:t xml:space="preserve">第15条(在庫及び返品)</w:t>
      </w:r>
    </w:p>
    <w:p>
      <w:pPr>
        <w:pStyle w:val="FirstParagraph"/>
      </w:pPr>
      <w:r>
        <w:rPr>
          <w:rFonts w:hint="eastAsia"/>
          <w:b/>
          <w:bCs/>
        </w:rPr>
        <w:t xml:space="preserve">【解説】</w:t>
      </w:r>
      <w:r>
        <w:t xml:space="preserve"> </w:t>
      </w:r>
      <w:r>
        <w:rPr>
          <w:rFonts w:hint="eastAsia"/>
        </w:rPr>
        <w:t xml:space="preserve">販売店契約では原則として「販売店が在庫リスクを負う」のがルール。これを明示することで、代理店契約との違いも明確化します。</w:t>
      </w:r>
    </w:p>
    <w:p>
      <w:pPr>
        <w:numPr>
          <w:ilvl w:val="0"/>
          <w:numId w:val="1018"/>
        </w:numPr>
      </w:pPr>
      <w:r>
        <w:rPr>
          <w:rFonts w:hint="eastAsia"/>
        </w:rPr>
        <w:t xml:space="preserve">乙は、本商品を仕入れた後、自己の責任と負担において在庫管理を行うものとする。本商品の在庫リスクは乙が負担する。</w:t>
      </w:r>
    </w:p>
    <w:p>
      <w:pPr>
        <w:numPr>
          <w:ilvl w:val="0"/>
          <w:numId w:val="1018"/>
        </w:numPr>
      </w:pPr>
      <w:r>
        <w:rPr>
          <w:rFonts w:hint="eastAsia"/>
        </w:rPr>
        <w:t xml:space="preserve">本商品の返品は、契約不適合(第14条)又は甲乙別途合意した場合を除き、原則として認めないものとする。</w:t>
      </w:r>
    </w:p>
    <w:p>
      <w:r>
        <w:pict>
          <v:rect style="width:0;height:1.5pt" o:hralign="center" o:hrstd="t" o:hr="t"/>
        </w:pict>
      </w:r>
    </w:p>
    <w:bookmarkEnd w:id="26"/>
    <w:bookmarkStart w:id="27" w:name="第16条競業避止"/>
    <w:p>
      <w:pPr>
        <w:pStyle w:val="Heading2"/>
      </w:pPr>
      <w:r>
        <w:rPr>
          <w:rFonts w:hint="eastAsia"/>
        </w:rPr>
        <w:t xml:space="preserve">第16条(競業避止)</w:t>
      </w:r>
    </w:p>
    <w:p>
      <w:pPr>
        <w:pStyle w:val="FirstParagraph"/>
      </w:pPr>
      <w:r>
        <w:rPr>
          <w:rFonts w:hint="eastAsia"/>
          <w:b/>
          <w:bCs/>
        </w:rPr>
        <w:t xml:space="preserve">【解説】</w:t>
      </w:r>
      <w:r>
        <w:t xml:space="preserve"> </w:t>
      </w:r>
      <w:r>
        <w:rPr>
          <w:rFonts w:hint="eastAsia"/>
        </w:rPr>
        <w:t xml:space="preserve">販売店が直接競合する他社商品を取り扱うことを制限する条項。過度に広範な制限は独禁法上の問題となるため、「直接競合」の定義を限定的に設定します。</w:t>
      </w:r>
    </w:p>
    <w:p>
      <w:pPr>
        <w:numPr>
          <w:ilvl w:val="0"/>
          <w:numId w:val="1019"/>
        </w:numPr>
      </w:pPr>
      <w:r>
        <w:rPr>
          <w:rFonts w:hint="eastAsia"/>
        </w:rPr>
        <w:t xml:space="preserve">乙は、本契約期間中、甲の事前の書面による承諾なく、本商品と直接競合する他社製品の取扱いを行わないものとする。</w:t>
      </w:r>
    </w:p>
    <w:p>
      <w:pPr>
        <w:numPr>
          <w:ilvl w:val="0"/>
          <w:numId w:val="1019"/>
        </w:numPr>
      </w:pPr>
      <w:r>
        <w:rPr>
          <w:rFonts w:hint="eastAsia"/>
        </w:rPr>
        <w:t xml:space="preserve">前項にいう「直接競合する他社製品」とは、本商品と[同種、同価格帯、同ターゲット顧客向け]の製品をいう。本商品と異なるカテゴリ・価格帯の商品の取扱いは制限されない。</w:t>
      </w:r>
    </w:p>
    <w:p>
      <w:pPr>
        <w:numPr>
          <w:ilvl w:val="0"/>
          <w:numId w:val="1019"/>
        </w:numPr>
      </w:pPr>
      <w:r>
        <w:rPr>
          <w:rFonts w:hint="eastAsia"/>
        </w:rPr>
        <w:t xml:space="preserve">乙が本契約締結時点で既に取り扱っている他社製品については、甲は乙に対し、合理的な範囲で取扱継続を妨げないものとする。</w:t>
      </w:r>
    </w:p>
    <w:p>
      <w:r>
        <w:pict>
          <v:rect style="width:0;height:1.5pt" o:hralign="center" o:hrstd="t" o:hr="t"/>
        </w:pict>
      </w:r>
    </w:p>
    <w:bookmarkEnd w:id="27"/>
    <w:bookmarkStart w:id="28" w:name="第17条秘密保持"/>
    <w:p>
      <w:pPr>
        <w:pStyle w:val="Heading2"/>
      </w:pPr>
      <w:r>
        <w:rPr>
          <w:rFonts w:hint="eastAsia"/>
        </w:rPr>
        <w:t xml:space="preserve">第17条(秘密保持)</w:t>
      </w:r>
    </w:p>
    <w:p>
      <w:pPr>
        <w:pStyle w:val="FirstParagraph"/>
      </w:pPr>
      <w:r>
        <w:rPr>
          <w:rFonts w:hint="eastAsia"/>
          <w:b/>
          <w:bCs/>
        </w:rPr>
        <w:t xml:space="preserve">【解説】</w:t>
      </w:r>
      <w:r>
        <w:t xml:space="preserve"> </w:t>
      </w:r>
      <w:r>
        <w:rPr>
          <w:rFonts w:hint="eastAsia"/>
        </w:rPr>
        <w:t xml:space="preserve">本契約の履行過程で知り得た相手方の秘密情報の取扱いを定めます。販売店契約では仕入価格・販売実績・顧客情報など機微な情報が交換されます。</w:t>
      </w:r>
    </w:p>
    <w:p>
      <w:pPr>
        <w:numPr>
          <w:ilvl w:val="0"/>
          <w:numId w:val="1020"/>
        </w:numPr>
      </w:pPr>
      <w:r>
        <w:rPr>
          <w:rFonts w:hint="eastAsia"/>
        </w:rPr>
        <w:t xml:space="preserve">甲及び乙は、本契約の履行に関連して知り得た相手方の技術上、営業上、財務上、顧客情報その他事業に関する一切の情報(以下「秘密情報」という。)を、本契約の目的以外に使用してはならず、また相手方の事前の書面又は電磁的方法による承諾なく第三者に開示又は漏えいしてはならない。</w:t>
      </w:r>
    </w:p>
    <w:p>
      <w:pPr>
        <w:numPr>
          <w:ilvl w:val="0"/>
          <w:numId w:val="1020"/>
        </w:numPr>
      </w:pPr>
      <w:r>
        <w:rPr>
          <w:rFonts w:hint="eastAsia"/>
        </w:rPr>
        <w:t xml:space="preserve">前項の規定は、本契約終了後[3]年間有効に存続するものとする。</w:t>
      </w:r>
    </w:p>
    <w:p>
      <w:pPr>
        <w:numPr>
          <w:ilvl w:val="0"/>
          <w:numId w:val="1020"/>
        </w:numPr>
      </w:pPr>
      <w:r>
        <w:rPr>
          <w:rFonts w:hint="eastAsia"/>
        </w:rPr>
        <w:t xml:space="preserve">次の各号のいずれかに該当する情報は、秘密情報に含まれないものとする。</w:t>
      </w:r>
    </w:p>
    <w:p>
      <w:pPr>
        <w:pStyle w:val="Compact"/>
        <w:numPr>
          <w:ilvl w:val="0"/>
          <w:numId w:val="1021"/>
        </w:numPr>
      </w:pPr>
      <w:r>
        <w:rPr>
          <w:rFonts w:hint="eastAsia"/>
        </w:rPr>
        <w:t xml:space="preserve">開示の時点で既に公知となっていた情報</w:t>
      </w:r>
    </w:p>
    <w:p>
      <w:pPr>
        <w:pStyle w:val="Compact"/>
        <w:numPr>
          <w:ilvl w:val="0"/>
          <w:numId w:val="1021"/>
        </w:numPr>
      </w:pPr>
      <w:r>
        <w:rPr>
          <w:rFonts w:hint="eastAsia"/>
        </w:rPr>
        <w:t xml:space="preserve">開示後、受領者の責めによらず公知となった情報</w:t>
      </w:r>
    </w:p>
    <w:p>
      <w:pPr>
        <w:pStyle w:val="Compact"/>
        <w:numPr>
          <w:ilvl w:val="0"/>
          <w:numId w:val="1021"/>
        </w:numPr>
      </w:pPr>
      <w:r>
        <w:rPr>
          <w:rFonts w:hint="eastAsia"/>
        </w:rPr>
        <w:t xml:space="preserve">開示の時点で受領者が既に正当に保有していた情報</w:t>
      </w:r>
    </w:p>
    <w:p>
      <w:pPr>
        <w:pStyle w:val="Compact"/>
        <w:numPr>
          <w:ilvl w:val="0"/>
          <w:numId w:val="1021"/>
        </w:numPr>
      </w:pPr>
      <w:r>
        <w:rPr>
          <w:rFonts w:hint="eastAsia"/>
        </w:rPr>
        <w:t xml:space="preserve">秘密保持義務を負わない第三者から正当に取得した情報</w:t>
      </w:r>
    </w:p>
    <w:p>
      <w:pPr>
        <w:pStyle w:val="Compact"/>
        <w:numPr>
          <w:ilvl w:val="0"/>
          <w:numId w:val="1021"/>
        </w:numPr>
      </w:pPr>
      <w:r>
        <w:rPr>
          <w:rFonts w:hint="eastAsia"/>
        </w:rPr>
        <w:t xml:space="preserve">受領者が独自に開発した情報</w:t>
      </w:r>
    </w:p>
    <w:p>
      <w:r>
        <w:pict>
          <v:rect style="width:0;height:1.5pt" o:hralign="center" o:hrstd="t" o:hr="t"/>
        </w:pict>
      </w:r>
    </w:p>
    <w:bookmarkEnd w:id="28"/>
    <w:bookmarkStart w:id="29" w:name="第18条個人情報の取扱い"/>
    <w:p>
      <w:pPr>
        <w:pStyle w:val="Heading2"/>
      </w:pPr>
      <w:r>
        <w:rPr>
          <w:rFonts w:hint="eastAsia"/>
        </w:rPr>
        <w:t xml:space="preserve">第18条(個人情報の取扱い)</w:t>
      </w:r>
    </w:p>
    <w:p>
      <w:pPr>
        <w:pStyle w:val="FirstParagraph"/>
      </w:pPr>
      <w:r>
        <w:rPr>
          <w:rFonts w:hint="eastAsia"/>
          <w:b/>
          <w:bCs/>
        </w:rPr>
        <w:t xml:space="preserve">【解説】</w:t>
      </w:r>
      <w:r>
        <w:t xml:space="preserve"> </w:t>
      </w:r>
      <w:r>
        <w:rPr>
          <w:rFonts w:hint="eastAsia"/>
        </w:rPr>
        <w:t xml:space="preserve">本商品の販売・販促で取り扱う個人情報(顧客情報等)の取扱いを定めます。個人情報を取り扱わない取引では削除可能。</w:t>
      </w:r>
    </w:p>
    <w:p>
      <w:pPr>
        <w:numPr>
          <w:ilvl w:val="0"/>
          <w:numId w:val="1022"/>
        </w:numPr>
      </w:pPr>
      <w:r>
        <w:rPr>
          <w:rFonts w:hint="eastAsia"/>
        </w:rPr>
        <w:t xml:space="preserve">甲及び乙は、本契約の履行に関連して個人情報(個人情報の保護に関する法律第2条第1項に定める個人情報をいう。)を取り扱う場合、同法その他関連法令を遵守し、適切に取り扱うものとする。</w:t>
      </w:r>
    </w:p>
    <w:p>
      <w:pPr>
        <w:numPr>
          <w:ilvl w:val="0"/>
          <w:numId w:val="1022"/>
        </w:numPr>
      </w:pPr>
      <w:r>
        <w:rPr>
          <w:rFonts w:hint="eastAsia"/>
        </w:rPr>
        <w:t xml:space="preserve">個人情報の漏えい等が発生し、又は発生のおそれがある場合、直ちに相手方に通知し、必要な措置を講じるものとする。</w:t>
      </w:r>
    </w:p>
    <w:p>
      <w:r>
        <w:pict>
          <v:rect style="width:0;height:1.5pt" o:hralign="center" o:hrstd="t" o:hr="t"/>
        </w:pict>
      </w:r>
    </w:p>
    <w:bookmarkEnd w:id="29"/>
    <w:bookmarkStart w:id="30" w:name="第19条反社会的勢力の排除"/>
    <w:p>
      <w:pPr>
        <w:pStyle w:val="Heading2"/>
      </w:pPr>
      <w:r>
        <w:rPr>
          <w:rFonts w:hint="eastAsia"/>
        </w:rPr>
        <w:t xml:space="preserve">第19条(反社会的勢力の排除)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23"/>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23"/>
        </w:numPr>
      </w:pPr>
      <w:r>
        <w:rPr>
          <w:rFonts w:hint="eastAsia"/>
        </w:rPr>
        <w:t xml:space="preserve">甲及び乙は、自ら又は第三者を利用して、次の各号に該当する行為を行わないことを表明し、保証する。</w:t>
      </w:r>
    </w:p>
    <w:p>
      <w:pPr>
        <w:pStyle w:val="Compact"/>
        <w:numPr>
          <w:ilvl w:val="0"/>
          <w:numId w:val="1024"/>
        </w:numPr>
      </w:pPr>
      <w:r>
        <w:rPr>
          <w:rFonts w:hint="eastAsia"/>
        </w:rPr>
        <w:t xml:space="preserve">暴力的な要求行為</w:t>
      </w:r>
    </w:p>
    <w:p>
      <w:pPr>
        <w:pStyle w:val="Compact"/>
        <w:numPr>
          <w:ilvl w:val="0"/>
          <w:numId w:val="1024"/>
        </w:numPr>
      </w:pPr>
      <w:r>
        <w:rPr>
          <w:rFonts w:hint="eastAsia"/>
        </w:rPr>
        <w:t xml:space="preserve">法的な責任を超えた不当な要求行為</w:t>
      </w:r>
    </w:p>
    <w:p>
      <w:pPr>
        <w:pStyle w:val="Compact"/>
        <w:numPr>
          <w:ilvl w:val="0"/>
          <w:numId w:val="1024"/>
        </w:numPr>
      </w:pPr>
      <w:r>
        <w:rPr>
          <w:rFonts w:hint="eastAsia"/>
        </w:rPr>
        <w:t xml:space="preserve">取引に関して、脅迫的な言動をし、又は暴力を用いる行為</w:t>
      </w:r>
    </w:p>
    <w:p>
      <w:pPr>
        <w:pStyle w:val="Compact"/>
        <w:numPr>
          <w:ilvl w:val="0"/>
          <w:numId w:val="1024"/>
        </w:numPr>
      </w:pPr>
      <w:r>
        <w:rPr>
          <w:rFonts w:hint="eastAsia"/>
        </w:rPr>
        <w:t xml:space="preserve">風説を流布し、偽計又は威力を用いて相手方の信用を毀損し、又は業務を妨害する行為</w:t>
      </w:r>
    </w:p>
    <w:p>
      <w:pPr>
        <w:pStyle w:val="Compact"/>
        <w:numPr>
          <w:ilvl w:val="0"/>
          <w:numId w:val="1024"/>
        </w:numPr>
      </w:pPr>
      <w:r>
        <w:rPr>
          <w:rFonts w:hint="eastAsia"/>
        </w:rPr>
        <w:t xml:space="preserve">その他前各号に準ずる行為</w:t>
      </w:r>
    </w:p>
    <w:p>
      <w:pPr>
        <w:pStyle w:val="Compact"/>
        <w:numPr>
          <w:ilvl w:val="0"/>
          <w:numId w:val="1025"/>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30"/>
    <w:bookmarkStart w:id="31" w:name="第20条解除"/>
    <w:p>
      <w:pPr>
        <w:pStyle w:val="Heading2"/>
      </w:pPr>
      <w:r>
        <w:rPr>
          <w:rFonts w:hint="eastAsia"/>
        </w:rPr>
        <w:t xml:space="preserve">第20条(解除)</w:t>
      </w:r>
    </w:p>
    <w:p>
      <w:pPr>
        <w:pStyle w:val="FirstParagraph"/>
      </w:pPr>
      <w:r>
        <w:rPr>
          <w:rFonts w:hint="eastAsia"/>
          <w:b/>
          <w:bCs/>
        </w:rPr>
        <w:t xml:space="preserve">【解説】</w:t>
      </w:r>
      <w:r>
        <w:t xml:space="preserve"> </w:t>
      </w:r>
      <w:r>
        <w:rPr>
          <w:rFonts w:hint="eastAsia"/>
        </w:rPr>
        <w:t xml:space="preserve">契約解除の事由を明確化します。催告解除と無催告解除を区別する標準的な構成です。</w:t>
      </w:r>
    </w:p>
    <w:p>
      <w:pPr>
        <w:numPr>
          <w:ilvl w:val="0"/>
          <w:numId w:val="1026"/>
        </w:numPr>
      </w:pPr>
      <w:r>
        <w:rPr>
          <w:rFonts w:hint="eastAsia"/>
        </w:rPr>
        <w:t xml:space="preserve">甲又は乙は、相手方が本契約のいずれかの条項に違反し、相当の期間を定めた催告にもかかわらず是正されない場合、本契約を解除することができる。</w:t>
      </w:r>
    </w:p>
    <w:p>
      <w:pPr>
        <w:numPr>
          <w:ilvl w:val="0"/>
          <w:numId w:val="1026"/>
        </w:numPr>
      </w:pPr>
      <w:r>
        <w:rPr>
          <w:rFonts w:hint="eastAsia"/>
        </w:rPr>
        <w:t xml:space="preserve">前項にかかわらず、甲又は乙は、相手方が次の各号のいずれかに該当した場合、何らの催告なくして本契約を解除することができる。</w:t>
      </w:r>
    </w:p>
    <w:p>
      <w:pPr>
        <w:pStyle w:val="Compact"/>
        <w:numPr>
          <w:ilvl w:val="0"/>
          <w:numId w:val="1027"/>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27"/>
        </w:numPr>
      </w:pPr>
      <w:r>
        <w:rPr>
          <w:rFonts w:hint="eastAsia"/>
        </w:rPr>
        <w:t xml:space="preserve">手形又は小切手の不渡りを出したとき</w:t>
      </w:r>
    </w:p>
    <w:p>
      <w:pPr>
        <w:pStyle w:val="Compact"/>
        <w:numPr>
          <w:ilvl w:val="0"/>
          <w:numId w:val="1027"/>
        </w:numPr>
      </w:pPr>
      <w:r>
        <w:rPr>
          <w:rFonts w:hint="eastAsia"/>
        </w:rPr>
        <w:t xml:space="preserve">差押え、仮差押え、仮処分、強制執行又は競売の申立てを受けたとき</w:t>
      </w:r>
    </w:p>
    <w:p>
      <w:pPr>
        <w:pStyle w:val="Compact"/>
        <w:numPr>
          <w:ilvl w:val="0"/>
          <w:numId w:val="1027"/>
        </w:numPr>
      </w:pPr>
      <w:r>
        <w:rPr>
          <w:rFonts w:hint="eastAsia"/>
        </w:rPr>
        <w:t xml:space="preserve">解散、合併又は事業の全部若しくは重要な一部の譲渡の決議をしたとき</w:t>
      </w:r>
    </w:p>
    <w:p>
      <w:pPr>
        <w:pStyle w:val="Compact"/>
        <w:numPr>
          <w:ilvl w:val="0"/>
          <w:numId w:val="1027"/>
        </w:numPr>
      </w:pPr>
      <w:r>
        <w:rPr>
          <w:rFonts w:hint="eastAsia"/>
        </w:rPr>
        <w:t xml:space="preserve">その他財産状態が悪化し、又は本契約の継続が困難と認められる相当の事由があるとき</w:t>
      </w:r>
    </w:p>
    <w:p>
      <w:pPr>
        <w:pStyle w:val="Compact"/>
        <w:numPr>
          <w:ilvl w:val="0"/>
          <w:numId w:val="1028"/>
        </w:numPr>
      </w:pPr>
      <w:r>
        <w:rPr>
          <w:rFonts w:hint="eastAsia"/>
        </w:rPr>
        <w:t xml:space="preserve">前2項の解除は、解除した側の損害賠償請求を妨げない。</w:t>
      </w:r>
    </w:p>
    <w:p>
      <w:r>
        <w:pict>
          <v:rect style="width:0;height:1.5pt" o:hralign="center" o:hrstd="t" o:hr="t"/>
        </w:pict>
      </w:r>
    </w:p>
    <w:bookmarkEnd w:id="31"/>
    <w:bookmarkStart w:id="32" w:name="第21条契約終了時の措置"/>
    <w:p>
      <w:pPr>
        <w:pStyle w:val="Heading2"/>
      </w:pPr>
      <w:r>
        <w:rPr>
          <w:rFonts w:hint="eastAsia"/>
        </w:rPr>
        <w:t xml:space="preserve">第21条(契約終了時の措置)</w:t>
      </w:r>
    </w:p>
    <w:p>
      <w:pPr>
        <w:pStyle w:val="FirstParagraph"/>
      </w:pPr>
      <w:r>
        <w:rPr>
          <w:rFonts w:hint="eastAsia"/>
          <w:b/>
          <w:bCs/>
        </w:rPr>
        <w:t xml:space="preserve">【解説】</w:t>
      </w:r>
      <w:r>
        <w:t xml:space="preserve"> </w:t>
      </w:r>
      <w:r>
        <w:rPr>
          <w:rFonts w:hint="eastAsia"/>
        </w:rPr>
        <w:t xml:space="preserve">契約終了時の在庫処理・商標使用停止・債務精算等を明示。販売店契約では「終了時の在庫の取扱い」が大きな論点となります。</w:t>
      </w:r>
    </w:p>
    <w:p>
      <w:pPr>
        <w:pStyle w:val="Compact"/>
        <w:numPr>
          <w:ilvl w:val="0"/>
          <w:numId w:val="1029"/>
        </w:numPr>
      </w:pPr>
      <w:r>
        <w:rPr>
          <w:rFonts w:hint="eastAsia"/>
        </w:rPr>
        <w:t xml:space="preserve">本契約が解除又は終了した場合、甲及び乙は次の措置を講じる。</w:t>
      </w:r>
    </w:p>
    <w:p>
      <w:pPr>
        <w:pStyle w:val="Compact"/>
        <w:numPr>
          <w:ilvl w:val="0"/>
          <w:numId w:val="1030"/>
        </w:numPr>
      </w:pPr>
      <w:r>
        <w:rPr>
          <w:rFonts w:hint="eastAsia"/>
        </w:rPr>
        <w:t xml:space="preserve">乙は、本契約終了時点で保有する本商品の在庫について、甲の指示に従い、引き続き販売を継続するか、又は甲が買い戻すかを甲乙協議の上で決定する。</w:t>
      </w:r>
    </w:p>
    <w:p>
      <w:pPr>
        <w:pStyle w:val="Compact"/>
        <w:numPr>
          <w:ilvl w:val="0"/>
          <w:numId w:val="1030"/>
        </w:numPr>
      </w:pPr>
      <w:r>
        <w:rPr>
          <w:rFonts w:hint="eastAsia"/>
        </w:rPr>
        <w:t xml:space="preserve">乙は、甲商標の使用を直ちに停止し、本商品の販売促進物・広告物等から甲商標を除去する。</w:t>
      </w:r>
    </w:p>
    <w:p>
      <w:pPr>
        <w:pStyle w:val="Compact"/>
        <w:numPr>
          <w:ilvl w:val="0"/>
          <w:numId w:val="1030"/>
        </w:numPr>
      </w:pPr>
      <w:r>
        <w:rPr>
          <w:rFonts w:hint="eastAsia"/>
        </w:rPr>
        <w:t xml:space="preserve">甲乙間の未精算金(仕入代金・販売奨励金・違約金等)を清算する。</w:t>
      </w:r>
    </w:p>
    <w:p>
      <w:pPr>
        <w:pStyle w:val="Compact"/>
        <w:numPr>
          <w:ilvl w:val="0"/>
          <w:numId w:val="1030"/>
        </w:numPr>
      </w:pPr>
      <w:r>
        <w:rPr>
          <w:rFonts w:hint="eastAsia"/>
        </w:rPr>
        <w:t xml:space="preserve">乙は、甲から提供を受けた販促物・カタログ・サンプル等を甲に返還又は甲の指示に従い処分する。</w:t>
      </w:r>
    </w:p>
    <w:p>
      <w:pPr>
        <w:pStyle w:val="Compact"/>
        <w:numPr>
          <w:ilvl w:val="0"/>
          <w:numId w:val="1030"/>
        </w:numPr>
      </w:pPr>
      <w:r>
        <w:rPr>
          <w:rFonts w:hint="eastAsia"/>
        </w:rPr>
        <w:t xml:space="preserve">乙は、第16条(競業避止)、第17条(秘密保持)その他本契約終了後も効力を有する義務を遵守する。</w:t>
      </w:r>
    </w:p>
    <w:p>
      <w:pPr>
        <w:pStyle w:val="Compact"/>
        <w:numPr>
          <w:ilvl w:val="0"/>
          <w:numId w:val="1031"/>
        </w:numPr>
      </w:pPr>
      <w:r>
        <w:rPr>
          <w:rFonts w:hint="eastAsia"/>
        </w:rPr>
        <w:t xml:space="preserve">前項(1)の在庫の買い戻しを甲が選択した場合、買い戻し価格は乙の仕入価格(税抜)を基準として甲乙協議の上で決定する。</w:t>
      </w:r>
    </w:p>
    <w:p>
      <w:r>
        <w:pict>
          <v:rect style="width:0;height:1.5pt" o:hralign="center" o:hrstd="t" o:hr="t"/>
        </w:pict>
      </w:r>
    </w:p>
    <w:bookmarkEnd w:id="32"/>
    <w:bookmarkStart w:id="33" w:name="第22条損害賠償"/>
    <w:p>
      <w:pPr>
        <w:pStyle w:val="Heading2"/>
      </w:pPr>
      <w:r>
        <w:rPr>
          <w:rFonts w:hint="eastAsia"/>
        </w:rPr>
        <w:t xml:space="preserve">第22条(損害賠償)</w:t>
      </w:r>
    </w:p>
    <w:p>
      <w:pPr>
        <w:pStyle w:val="FirstParagraph"/>
      </w:pPr>
      <w:r>
        <w:rPr>
          <w:rFonts w:hint="eastAsia"/>
          <w:b/>
          <w:bCs/>
        </w:rPr>
        <w:t xml:space="preserve">【解説】</w:t>
      </w:r>
      <w:r>
        <w:t xml:space="preserve"> </w:t>
      </w:r>
      <w:r>
        <w:rPr>
          <w:rFonts w:hint="eastAsia"/>
        </w:rPr>
        <w:t xml:space="preserve">損害賠償の範囲を定めます。販売店契約では仕入・販売の取引額が大きくなるため、上限と例外を慎重に設計します。</w:t>
      </w:r>
    </w:p>
    <w:p>
      <w:pPr>
        <w:numPr>
          <w:ilvl w:val="0"/>
          <w:numId w:val="1032"/>
        </w:numPr>
      </w:pPr>
      <w:r>
        <w:rPr>
          <w:rFonts w:hint="eastAsia"/>
        </w:rPr>
        <w:t xml:space="preserve">甲又は乙が本契約に違反し、相手方に損害を与えた場合、その損害(直接かつ通常の損害に限る。)を賠償するものとする。</w:t>
      </w:r>
    </w:p>
    <w:p>
      <w:pPr>
        <w:numPr>
          <w:ilvl w:val="0"/>
          <w:numId w:val="1032"/>
        </w:numPr>
      </w:pPr>
      <w:r>
        <w:rPr>
          <w:rFonts w:hint="eastAsia"/>
        </w:rPr>
        <w:t xml:space="preserve">前項の損害賠償の額は、過去[12]ヶ月間の本商品の取引額(乙の甲からの仕入額)の総額を上限とする。ただし、次の各号に該当する場合は、この上限の適用を受けないものとする。</w:t>
      </w:r>
    </w:p>
    <w:p>
      <w:pPr>
        <w:pStyle w:val="Compact"/>
        <w:numPr>
          <w:ilvl w:val="0"/>
          <w:numId w:val="1033"/>
        </w:numPr>
      </w:pPr>
      <w:r>
        <w:rPr>
          <w:rFonts w:hint="eastAsia"/>
        </w:rPr>
        <w:t xml:space="preserve">故意又は重大な過失による違反</w:t>
      </w:r>
    </w:p>
    <w:p>
      <w:pPr>
        <w:pStyle w:val="Compact"/>
        <w:numPr>
          <w:ilvl w:val="0"/>
          <w:numId w:val="1033"/>
        </w:numPr>
      </w:pPr>
      <w:r>
        <w:rPr>
          <w:rFonts w:hint="eastAsia"/>
        </w:rPr>
        <w:t xml:space="preserve">第13条(製造物責任)に基づく責任</w:t>
      </w:r>
    </w:p>
    <w:p>
      <w:pPr>
        <w:pStyle w:val="Compact"/>
        <w:numPr>
          <w:ilvl w:val="0"/>
          <w:numId w:val="1033"/>
        </w:numPr>
      </w:pPr>
      <w:r>
        <w:rPr>
          <w:rFonts w:hint="eastAsia"/>
        </w:rPr>
        <w:t xml:space="preserve">第17条(秘密保持)違反</w:t>
      </w:r>
    </w:p>
    <w:p>
      <w:pPr>
        <w:pStyle w:val="Compact"/>
        <w:numPr>
          <w:ilvl w:val="0"/>
          <w:numId w:val="1033"/>
        </w:numPr>
      </w:pPr>
      <w:r>
        <w:rPr>
          <w:rFonts w:hint="eastAsia"/>
        </w:rPr>
        <w:t xml:space="preserve">第19条(反社会的勢力の排除)違反</w:t>
      </w:r>
    </w:p>
    <w:p>
      <w:r>
        <w:pict>
          <v:rect style="width:0;height:1.5pt" o:hralign="center" o:hrstd="t" o:hr="t"/>
        </w:pict>
      </w:r>
    </w:p>
    <w:bookmarkEnd w:id="33"/>
    <w:bookmarkStart w:id="34" w:name="第23条不可抗力"/>
    <w:p>
      <w:pPr>
        <w:pStyle w:val="Heading2"/>
      </w:pPr>
      <w:r>
        <w:rPr>
          <w:rFonts w:hint="eastAsia"/>
        </w:rPr>
        <w:t xml:space="preserve">第23条(不可抗力)</w:t>
      </w:r>
    </w:p>
    <w:p>
      <w:pPr>
        <w:pStyle w:val="FirstParagraph"/>
      </w:pPr>
      <w:r>
        <w:rPr>
          <w:rFonts w:hint="eastAsia"/>
          <w:b/>
          <w:bCs/>
        </w:rPr>
        <w:t xml:space="preserve">【解説】</w:t>
      </w:r>
      <w:r>
        <w:t xml:space="preserve"> </w:t>
      </w:r>
      <w:r>
        <w:rPr>
          <w:rFonts w:hint="eastAsia"/>
        </w:rPr>
        <w:t xml:space="preserve">天災・パンデミック・サプライチェーン分断等の不可抗力による契約不履行を免責する条項です。</w:t>
      </w:r>
    </w:p>
    <w:p>
      <w:pPr>
        <w:numPr>
          <w:ilvl w:val="0"/>
          <w:numId w:val="1034"/>
        </w:numPr>
      </w:pPr>
      <w:r>
        <w:rPr>
          <w:rFonts w:hint="eastAsia"/>
        </w:rPr>
        <w:t xml:space="preserve">甲又は乙は、地震、台風、洪水、津波、火災、戦争、暴動、内乱、テロ、感染症の流行、サプライチェーンの分断、法令の制定若しくは改廃、政府機関の命令若しくは処分その他自己の責めに帰さない事由により本契約の履行が遅延又は不能となった場合、これによって相手方に生じた損害について責任を負わないものとする。</w:t>
      </w:r>
    </w:p>
    <w:p>
      <w:pPr>
        <w:numPr>
          <w:ilvl w:val="0"/>
          <w:numId w:val="1034"/>
        </w:numPr>
      </w:pPr>
      <w:r>
        <w:rPr>
          <w:rFonts w:hint="eastAsia"/>
        </w:rPr>
        <w:t xml:space="preserve">前項の事由が発生した当事者は、直ちにその旨を相手方に通知するとともに、影響の最小化に努めるものとする。</w:t>
      </w:r>
    </w:p>
    <w:p>
      <w:r>
        <w:pict>
          <v:rect style="width:0;height:1.5pt" o:hralign="center" o:hrstd="t" o:hr="t"/>
        </w:pict>
      </w:r>
    </w:p>
    <w:bookmarkEnd w:id="34"/>
    <w:bookmarkStart w:id="35" w:name="第24条譲渡禁止"/>
    <w:p>
      <w:pPr>
        <w:pStyle w:val="Heading2"/>
      </w:pPr>
      <w:r>
        <w:rPr>
          <w:rFonts w:hint="eastAsia"/>
        </w:rPr>
        <w:t xml:space="preserve">第24条(譲渡禁止)</w:t>
      </w:r>
    </w:p>
    <w:p>
      <w:pPr>
        <w:pStyle w:val="FirstParagraph"/>
      </w:pPr>
      <w:r>
        <w:rPr>
          <w:rFonts w:hint="eastAsia"/>
          <w:b/>
          <w:bCs/>
        </w:rPr>
        <w:t xml:space="preserve">【解説】</w:t>
      </w:r>
      <w:r>
        <w:t xml:space="preserve"> </w:t>
      </w:r>
      <w:r>
        <w:rPr>
          <w:rFonts w:hint="eastAsia"/>
        </w:rPr>
        <w:t xml:space="preserve">契約上の地位を勝手に第三者へ移転することを禁止します。M&amp;A時にも問題となるため、事前承諾を要件とします。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35"/>
    <w:bookmarkStart w:id="36" w:name="第25条契約期間及び更新"/>
    <w:p>
      <w:pPr>
        <w:pStyle w:val="Heading2"/>
      </w:pPr>
      <w:r>
        <w:rPr>
          <w:rFonts w:hint="eastAsia"/>
        </w:rPr>
        <w:t xml:space="preserve">第25条(契約期間及び更新)</w:t>
      </w:r>
    </w:p>
    <w:p>
      <w:pPr>
        <w:pStyle w:val="FirstParagraph"/>
      </w:pPr>
      <w:r>
        <w:rPr>
          <w:rFonts w:hint="eastAsia"/>
          <w:b/>
          <w:bCs/>
        </w:rPr>
        <w:t xml:space="preserve">【解説】</w:t>
      </w:r>
      <w:r>
        <w:t xml:space="preserve"> </w:t>
      </w:r>
      <w:r>
        <w:rPr>
          <w:rFonts w:hint="eastAsia"/>
        </w:rPr>
        <w:t xml:space="preserve">契約期間と自動更新を定めます。販売店契約は中長期(2〜5年)が一般的で、自動更新条項とセットで設計します。</w:t>
      </w:r>
    </w:p>
    <w:p>
      <w:pPr>
        <w:numPr>
          <w:ilvl w:val="0"/>
          <w:numId w:val="1035"/>
        </w:numPr>
      </w:pPr>
      <w:r>
        <w:rPr>
          <w:rFonts w:hint="eastAsia"/>
        </w:rPr>
        <w:t xml:space="preserve">本契約の有効期間は、本契約締結日から[2]年間とする。</w:t>
      </w:r>
    </w:p>
    <w:p>
      <w:pPr>
        <w:numPr>
          <w:ilvl w:val="0"/>
          <w:numId w:val="1035"/>
        </w:numPr>
      </w:pPr>
      <w:r>
        <w:rPr>
          <w:rFonts w:hint="eastAsia"/>
        </w:rPr>
        <w:t xml:space="preserve">期間満了の[3]ヶ月前までに甲乙いずれからも書面又は電磁的方法による別段の意思表示がない場合、本契約は同一条件でさらに[1]年間延長されるものとし、以後も同様とする。</w:t>
      </w:r>
    </w:p>
    <w:p>
      <w:r>
        <w:pict>
          <v:rect style="width:0;height:1.5pt" o:hralign="center" o:hrstd="t" o:hr="t"/>
        </w:pict>
      </w:r>
    </w:p>
    <w:bookmarkEnd w:id="36"/>
    <w:bookmarkStart w:id="37" w:name="第26条準拠法及び合意管轄"/>
    <w:p>
      <w:pPr>
        <w:pStyle w:val="Heading2"/>
      </w:pPr>
      <w:r>
        <w:rPr>
          <w:rFonts w:hint="eastAsia"/>
        </w:rPr>
        <w:t xml:space="preserve">第26条(準拠法及び合意管轄)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国際取引でなければ日本法準拠が基本です。海外販売店との契約では、準拠法・管轄・CISG適用排除等を別途検討してください。</w:t>
      </w:r>
    </w:p>
    <w:p>
      <w:pPr>
        <w:numPr>
          <w:ilvl w:val="0"/>
          <w:numId w:val="1036"/>
        </w:numPr>
      </w:pPr>
      <w:r>
        <w:rPr>
          <w:rFonts w:hint="eastAsia"/>
        </w:rPr>
        <w:t xml:space="preserve">本契約は、日本法に準拠し、日本法に従って解釈されるものとする。</w:t>
      </w:r>
    </w:p>
    <w:p>
      <w:pPr>
        <w:numPr>
          <w:ilvl w:val="0"/>
          <w:numId w:val="1036"/>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7"/>
    <w:bookmarkStart w:id="38" w:name="第27条協議事項"/>
    <w:p>
      <w:pPr>
        <w:pStyle w:val="Heading2"/>
      </w:pPr>
      <w:r>
        <w:rPr>
          <w:rFonts w:hint="eastAsia"/>
        </w:rPr>
        <w:t xml:space="preserve">第27条(協議事項)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8"/>
    <w:bookmarkStart w:id="39"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【甲(メーカー)】</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【乙(販売店)】</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9"/>
    <w:bookmarkStart w:id="43" w:name="別紙必要に応じて添付"/>
    <w:p>
      <w:pPr>
        <w:pStyle w:val="Heading2"/>
      </w:pPr>
      <w:r>
        <w:rPr>
          <w:rFonts w:hint="eastAsia"/>
        </w:rPr>
        <w:t xml:space="preserve">別紙(必要に応じて添付)</w:t>
      </w:r>
    </w:p>
    <w:bookmarkStart w:id="40" w:name="別紙1商品一覧"/>
    <w:p>
      <w:pPr>
        <w:pStyle w:val="Heading3"/>
      </w:pPr>
      <w:r>
        <w:rPr>
          <w:rFonts w:hint="eastAsia"/>
        </w:rPr>
        <w:t xml:space="preserve">別紙1:商品一覧</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品名</w:t>
            </w:r>
          </w:p>
        </w:tc>
        <w:tc>
          <w:tcPr/>
          <w:p>
            <w:pPr>
              <w:pStyle w:val="Compact"/>
            </w:pPr>
            <w:r>
              <w:rPr>
                <w:rFonts w:hint="eastAsia"/>
              </w:rPr>
              <w:t xml:space="preserve">型番・品番</w:t>
            </w:r>
          </w:p>
        </w:tc>
        <w:tc>
          <w:tcPr/>
          <w:p>
            <w:pPr>
              <w:pStyle w:val="Compact"/>
            </w:pPr>
            <w:r>
              <w:rPr>
                <w:rFonts w:hint="eastAsia"/>
              </w:rPr>
              <w:t xml:space="preserve">規格</w:t>
            </w:r>
          </w:p>
        </w:tc>
        <w:tc>
          <w:tcPr/>
          <w:p>
            <w:pPr>
              <w:pStyle w:val="Compact"/>
            </w:pPr>
            <w:r>
              <w:rPr>
                <w:rFonts w:hint="eastAsia"/>
              </w:rPr>
              <w:t xml:space="preserve">希望小売価格(税抜)</w:t>
            </w:r>
          </w:p>
        </w:tc>
      </w:tr>
      <w:tr>
        <w:tc>
          <w:tcPr/>
          <w:p>
            <w:pPr>
              <w:pStyle w:val="Compact"/>
            </w:pPr>
            <w:r>
              <w:t xml:space="preserve">1</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2</w:t>
            </w:r>
          </w:p>
        </w:tc>
        <w:tc>
          <w:tcPr/>
          <w:p>
            <w:pPr>
              <w:pStyle w:val="Compact"/>
            </w:pPr>
          </w:p>
        </w:tc>
        <w:tc>
          <w:tcPr/>
          <w:p>
            <w:pPr>
              <w:pStyle w:val="Compact"/>
            </w:pPr>
          </w:p>
        </w:tc>
        <w:tc>
          <w:tcPr/>
          <w:p>
            <w:pPr>
              <w:pStyle w:val="Compact"/>
            </w:pPr>
          </w:p>
        </w:tc>
        <w:tc>
          <w:tcPr/>
          <w:p>
            <w:pPr>
              <w:pStyle w:val="Compact"/>
            </w:pPr>
          </w:p>
        </w:tc>
      </w:tr>
    </w:tbl>
    <w:bookmarkEnd w:id="40"/>
    <w:bookmarkStart w:id="41" w:name="別紙2価格表仕入価格"/>
    <w:p>
      <w:pPr>
        <w:pStyle w:val="Heading3"/>
      </w:pPr>
      <w:r>
        <w:rPr>
          <w:rFonts w:hint="eastAsia"/>
        </w:rPr>
        <w:t xml:space="preserve">別紙2:価格表(仕入価格)</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品名</w:t>
            </w:r>
          </w:p>
        </w:tc>
        <w:tc>
          <w:tcPr/>
          <w:p>
            <w:pPr>
              <w:pStyle w:val="Compact"/>
            </w:pPr>
            <w:r>
              <w:rPr>
                <w:rFonts w:hint="eastAsia"/>
              </w:rPr>
              <w:t xml:space="preserve">型番・品番</w:t>
            </w:r>
          </w:p>
        </w:tc>
        <w:tc>
          <w:tcPr/>
          <w:p>
            <w:pPr>
              <w:pStyle w:val="Compact"/>
            </w:pPr>
            <w:r>
              <w:rPr>
                <w:rFonts w:hint="eastAsia"/>
              </w:rPr>
              <w:t xml:space="preserve">仕入価格(税抜)</w:t>
            </w:r>
          </w:p>
        </w:tc>
        <w:tc>
          <w:tcPr/>
          <w:p>
            <w:pPr>
              <w:pStyle w:val="Compact"/>
            </w:pPr>
            <w:r>
              <w:rPr>
                <w:rFonts w:hint="eastAsia"/>
              </w:rPr>
              <w:t xml:space="preserve">数量割引(該当する場合)</w:t>
            </w:r>
          </w:p>
        </w:tc>
      </w:tr>
      <w:tr>
        <w:tc>
          <w:tcPr/>
          <w:p>
            <w:pPr>
              <w:pStyle w:val="Compact"/>
            </w:pPr>
            <w:r>
              <w:t xml:space="preserve">1</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2</w:t>
            </w:r>
          </w:p>
        </w:tc>
        <w:tc>
          <w:tcPr/>
          <w:p>
            <w:pPr>
              <w:pStyle w:val="Compact"/>
            </w:pPr>
          </w:p>
        </w:tc>
        <w:tc>
          <w:tcPr/>
          <w:p>
            <w:pPr>
              <w:pStyle w:val="Compact"/>
            </w:pPr>
          </w:p>
        </w:tc>
        <w:tc>
          <w:tcPr/>
          <w:p>
            <w:pPr>
              <w:pStyle w:val="Compact"/>
            </w:pPr>
          </w:p>
        </w:tc>
        <w:tc>
          <w:tcPr/>
          <w:p>
            <w:pPr>
              <w:pStyle w:val="Compact"/>
            </w:pPr>
          </w:p>
        </w:tc>
      </w:tr>
    </w:tbl>
    <w:bookmarkEnd w:id="41"/>
    <w:bookmarkStart w:id="42" w:name="別紙3商品仕様書該当する場合"/>
    <w:p>
      <w:pPr>
        <w:pStyle w:val="Heading3"/>
      </w:pPr>
      <w:r>
        <w:rPr>
          <w:rFonts w:hint="eastAsia"/>
        </w:rPr>
        <w:t xml:space="preserve">別紙3:商品仕様書(該当する場合)</w:t>
      </w:r>
    </w:p>
    <w:p>
      <w:pPr>
        <w:pStyle w:val="FirstParagraph"/>
      </w:pPr>
      <w:r>
        <w:rPr>
          <w:rFonts w:hint="eastAsia"/>
        </w:rPr>
        <w:t xml:space="preserve">[本商品の詳細仕様を記載]</w:t>
      </w:r>
    </w:p>
    <w:p>
      <w:r>
        <w:pict>
          <v:rect style="width:0;height:1.5pt" o:hralign="center" o:hrstd="t" o:hr="t"/>
        </w:pict>
      </w:r>
    </w:p>
    <w:bookmarkEnd w:id="42"/>
    <w:bookmarkEnd w:id="43"/>
    <w:bookmarkStart w:id="46" w:name="印紙税について"/>
    <w:p>
      <w:pPr>
        <w:pStyle w:val="Heading2"/>
      </w:pPr>
      <w:r>
        <w:rPr>
          <w:rFonts w:hint="eastAsia"/>
        </w:rPr>
        <w:t xml:space="preserve">印紙税について</w:t>
      </w:r>
    </w:p>
    <w:p>
      <w:pPr>
        <w:pStyle w:val="FirstParagraph"/>
      </w:pPr>
      <w:r>
        <w:rPr>
          <w:rFonts w:hint="eastAsia"/>
        </w:rPr>
        <w:t xml:space="preserve">販売店契約書は、</w:t>
      </w:r>
      <w:r>
        <w:rPr>
          <w:rFonts w:hint="eastAsia"/>
          <w:b/>
          <w:bCs/>
        </w:rPr>
        <w:t xml:space="preserve">継続的取引の基本契約書</w:t>
      </w:r>
      <w:r>
        <w:rPr>
          <w:rFonts w:hint="eastAsia"/>
        </w:rPr>
        <w:t xml:space="preserve">として印紙税法上の課税文書に該当することが多いです。</w:t>
      </w:r>
    </w:p>
    <w:bookmarkStart w:id="44" w:name="印紙税の判定"/>
    <w:p>
      <w:pPr>
        <w:pStyle w:val="Heading3"/>
      </w:pPr>
      <w:r>
        <w:rPr>
          <w:rFonts w:hint="eastAsia"/>
        </w:rPr>
        <w:t xml:space="preserve">印紙税の判定</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継続的取引の基本契約(本テンプレに該当)</w:t>
            </w:r>
          </w:p>
        </w:tc>
        <w:tc>
          <w:tcPr/>
          <w:p>
            <w:pPr>
              <w:pStyle w:val="Compact"/>
            </w:pPr>
            <w:r>
              <w:rPr>
                <w:rFonts w:hint="eastAsia"/>
              </w:rPr>
              <w:t xml:space="preserve">第7号文書</w:t>
            </w:r>
          </w:p>
        </w:tc>
        <w:tc>
          <w:tcPr/>
          <w:p>
            <w:pPr>
              <w:pStyle w:val="Compact"/>
            </w:pPr>
            <w:r>
              <w:rPr>
                <w:rFonts w:hint="eastAsia"/>
                <w:b/>
                <w:bCs/>
              </w:rPr>
              <w:t xml:space="preserve">4,000円</w:t>
            </w:r>
          </w:p>
        </w:tc>
      </w:tr>
      <w:tr>
        <w:tc>
          <w:tcPr/>
          <w:p>
            <w:pPr>
              <w:pStyle w:val="Compact"/>
            </w:pPr>
            <w:r>
              <w:rPr>
                <w:rFonts w:hint="eastAsia"/>
                <w:b/>
                <w:bCs/>
              </w:rPr>
              <w:t xml:space="preserve">個別売買契約書(動産売買)</w:t>
            </w:r>
          </w:p>
        </w:tc>
        <w:tc>
          <w:tcPr/>
          <w:p>
            <w:pPr>
              <w:pStyle w:val="Compact"/>
            </w:pPr>
            <w:r>
              <w:rPr>
                <w:rFonts w:hint="eastAsia"/>
              </w:rPr>
              <w:t xml:space="preserve">原則非課税</w:t>
            </w:r>
          </w:p>
        </w:tc>
        <w:tc>
          <w:tcPr/>
          <w:p>
            <w:pPr>
              <w:pStyle w:val="Compact"/>
            </w:pPr>
            <w:r>
              <w:rPr>
                <w:rFonts w:hint="eastAsia"/>
              </w:rPr>
              <w:t xml:space="preserve">0円</w:t>
            </w:r>
          </w:p>
        </w:tc>
      </w:tr>
    </w:tbl>
    <w:bookmarkEnd w:id="44"/>
    <w:bookmarkStart w:id="45"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電子契約サービスを利用して締結する場合、印紙税は発生しません</w:t>
      </w:r>
      <w:r>
        <w:rPr>
          <w:rFonts w:hint="eastAsia"/>
        </w:rPr>
        <w:t xml:space="preserve">。国税庁の見解では、電子契約は印紙税法上の課税文書に該当しないとされています。</w:t>
      </w:r>
    </w:p>
    <w:p>
      <w:pPr>
        <w:pStyle w:val="Compact"/>
        <w:numPr>
          <w:ilvl w:val="0"/>
          <w:numId w:val="1037"/>
        </w:numPr>
      </w:pPr>
      <w:r>
        <w:rPr>
          <w:rFonts w:hint="eastAsia"/>
        </w:rPr>
        <w:t xml:space="preserve">紙で締結</w:t>
      </w:r>
      <w:r>
        <w:t xml:space="preserve"> → </w:t>
      </w:r>
      <w:r>
        <w:rPr>
          <w:rFonts w:hint="eastAsia"/>
        </w:rPr>
        <w:t xml:space="preserve">販売店ごとに4,000円の印紙税</w:t>
      </w:r>
    </w:p>
    <w:p>
      <w:pPr>
        <w:pStyle w:val="Compact"/>
        <w:numPr>
          <w:ilvl w:val="0"/>
          <w:numId w:val="1037"/>
        </w:numPr>
      </w:pPr>
      <w:r>
        <w:rPr>
          <w:rFonts w:hint="eastAsia"/>
        </w:rPr>
        <w:t xml:space="preserve">電子契約</w:t>
      </w:r>
      <w:r>
        <w:t xml:space="preserve"> →</w:t>
      </w:r>
      <w:r>
        <w:t xml:space="preserve"> </w:t>
      </w:r>
      <w:r>
        <w:rPr>
          <w:rFonts w:hint="eastAsia"/>
          <w:b/>
          <w:bCs/>
        </w:rPr>
        <w:t xml:space="preserve">0円</w:t>
      </w:r>
    </w:p>
    <w:p>
      <w:pPr>
        <w:pStyle w:val="FirstParagraph"/>
      </w:pPr>
      <w:r>
        <w:rPr>
          <w:rFonts w:hint="eastAsia"/>
        </w:rPr>
        <w:t xml:space="preserve">メーカー・卸事業者は複数販売店との契約を継続的に締結するため、</w:t>
      </w:r>
      <w:r>
        <w:rPr>
          <w:rFonts w:hint="eastAsia"/>
          <w:b/>
          <w:bCs/>
        </w:rPr>
        <w:t xml:space="preserve">電子化による累積節税効果が大きい契約類型</w:t>
      </w:r>
      <w:r>
        <w:rPr>
          <w:rFonts w:hint="eastAsia"/>
        </w:rPr>
        <w:t xml:space="preserve">です。例えば年間20販売店との契約締結なら、紙だと年間80,000円の印紙税が、電子契約ならゼロになります。</w:t>
      </w:r>
    </w:p>
    <w:p>
      <w:pPr>
        <w:pStyle w:val="BodyText"/>
      </w:pPr>
      <w:r>
        <w:rPr>
          <w:rFonts w:hint="eastAsia"/>
        </w:rPr>
        <w:t xml:space="preserve">(具体的な税務判断は税理士にご相談ください。)</w:t>
      </w:r>
    </w:p>
    <w:p>
      <w:r>
        <w:pict>
          <v:rect style="width:0;height:1.5pt" o:hralign="center" o:hrstd="t" o:hr="t"/>
        </w:pict>
      </w:r>
    </w:p>
    <w:bookmarkEnd w:id="45"/>
    <w:bookmarkEnd w:id="46"/>
    <w:bookmarkStart w:id="47"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本契約は、電子署名法に基づく電子契約サービスでの締結が可能です。販売店契約特有のメリット:</w:t>
      </w:r>
    </w:p>
    <w:p>
      <w:pPr>
        <w:pStyle w:val="Compact"/>
        <w:numPr>
          <w:ilvl w:val="0"/>
          <w:numId w:val="1038"/>
        </w:numPr>
      </w:pPr>
      <w:r>
        <w:rPr>
          <w:rFonts w:hint="eastAsia"/>
          <w:b/>
          <w:bCs/>
        </w:rPr>
        <w:t xml:space="preserve">印紙税ゼロ</w:t>
      </w:r>
      <w:r>
        <w:rPr>
          <w:rFonts w:hint="eastAsia"/>
        </w:rPr>
        <w:t xml:space="preserve">(販売店ごとの4,000円が累積節税)</w:t>
      </w:r>
    </w:p>
    <w:p>
      <w:pPr>
        <w:pStyle w:val="Compact"/>
        <w:numPr>
          <w:ilvl w:val="0"/>
          <w:numId w:val="1038"/>
        </w:numPr>
      </w:pPr>
      <w:r>
        <w:rPr>
          <w:rFonts w:hint="eastAsia"/>
          <w:b/>
          <w:bCs/>
        </w:rPr>
        <w:t xml:space="preserve">印刷・郵送・押印の手間が不要</w:t>
      </w:r>
      <w:r>
        <w:rPr>
          <w:rFonts w:hint="eastAsia"/>
        </w:rPr>
        <w:t xml:space="preserve">(遠隔地・海外の販売店との締結が容易)</w:t>
      </w:r>
    </w:p>
    <w:p>
      <w:pPr>
        <w:pStyle w:val="Compact"/>
        <w:numPr>
          <w:ilvl w:val="0"/>
          <w:numId w:val="1038"/>
        </w:numPr>
      </w:pPr>
      <w:r>
        <w:rPr>
          <w:rFonts w:hint="eastAsia"/>
          <w:b/>
          <w:bCs/>
        </w:rPr>
        <w:t xml:space="preserve">締結スピードが最短数時間</w:t>
      </w:r>
      <w:r>
        <w:rPr>
          <w:rFonts w:hint="eastAsia"/>
        </w:rPr>
        <w:t xml:space="preserve">に短縮</w:t>
      </w:r>
    </w:p>
    <w:p>
      <w:pPr>
        <w:pStyle w:val="Compact"/>
        <w:numPr>
          <w:ilvl w:val="0"/>
          <w:numId w:val="1038"/>
        </w:numPr>
      </w:pPr>
      <w:r>
        <w:rPr>
          <w:rFonts w:hint="eastAsia"/>
          <w:b/>
          <w:bCs/>
        </w:rPr>
        <w:t xml:space="preserve">改ざん検知</w:t>
      </w:r>
      <w:r>
        <w:rPr>
          <w:rFonts w:hint="eastAsia"/>
        </w:rPr>
        <w:t xml:space="preserve">(タイムスタンプ・電子署名)</w:t>
      </w:r>
    </w:p>
    <w:p>
      <w:pPr>
        <w:pStyle w:val="Compact"/>
        <w:numPr>
          <w:ilvl w:val="0"/>
          <w:numId w:val="1038"/>
        </w:numPr>
      </w:pPr>
      <w:r>
        <w:rPr>
          <w:rFonts w:hint="eastAsia"/>
          <w:b/>
          <w:bCs/>
        </w:rPr>
        <w:t xml:space="preserve">電子帳簿保存法の保存要件</w:t>
      </w:r>
      <w:r>
        <w:rPr>
          <w:rFonts w:hint="eastAsia"/>
        </w:rPr>
        <w:t xml:space="preserve">に自動対応</w:t>
      </w:r>
    </w:p>
    <w:p>
      <w:pPr>
        <w:pStyle w:val="Compact"/>
        <w:numPr>
          <w:ilvl w:val="0"/>
          <w:numId w:val="1038"/>
        </w:numPr>
      </w:pPr>
      <w:r>
        <w:rPr>
          <w:rFonts w:hint="eastAsia"/>
          <w:b/>
          <w:bCs/>
        </w:rPr>
        <w:t xml:space="preserve">長期契約の期限管理が容易</w:t>
      </w:r>
      <w:r>
        <w:rPr>
          <w:rFonts w:hint="eastAsia"/>
        </w:rPr>
        <w:t xml:space="preserve">(自動更新・満了アラート機能)</w:t>
      </w:r>
    </w:p>
    <w:p>
      <w:pPr>
        <w:pStyle w:val="Compact"/>
        <w:numPr>
          <w:ilvl w:val="0"/>
          <w:numId w:val="1038"/>
        </w:numPr>
      </w:pPr>
      <w:r>
        <w:rPr>
          <w:rFonts w:hint="eastAsia"/>
          <w:b/>
          <w:bCs/>
        </w:rPr>
        <w:t xml:space="preserve">複数販売店契約の一元管理</w:t>
      </w:r>
      <w:r>
        <w:rPr>
          <w:rFonts w:hint="eastAsia"/>
        </w:rPr>
        <w:t xml:space="preserve">(販売店別・地域別の検索性)</w:t>
      </w:r>
    </w:p>
    <w:p>
      <w:pPr>
        <w:pStyle w:val="Compact"/>
        <w:numPr>
          <w:ilvl w:val="0"/>
          <w:numId w:val="1038"/>
        </w:numPr>
      </w:pPr>
      <w:r>
        <w:rPr>
          <w:rFonts w:hint="eastAsia"/>
          <w:b/>
          <w:bCs/>
        </w:rPr>
        <w:t xml:space="preserve">テンプレ化による業務効率化</w:t>
      </w:r>
      <w:r>
        <w:rPr>
          <w:rFonts w:hint="eastAsia"/>
        </w:rPr>
        <w:t xml:space="preserve">(販売店ごとに当事者情報・地域・最低数量のみ編集)</w:t>
      </w:r>
    </w:p>
    <w:p>
      <w:r>
        <w:pict>
          <v:rect style="width:0;height:1.5pt" o:hralign="center" o:hrstd="t" o:hr="t"/>
        </w:pict>
      </w:r>
    </w:p>
    <w:bookmarkEnd w:id="47"/>
    <w:bookmarkStart w:id="59"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※本テンプレートは弁護士監修ですが、個別案件に応じた修正が必要です。販売店契約は独占禁止法の規律対象であり、本格運用にあたっては必ず弁護士にご相談ください。</w:t>
      </w:r>
    </w:p>
    <w:bookmarkStart w:id="53" w:name="独占禁止法配慮最重要"/>
    <w:p>
      <w:pPr>
        <w:pStyle w:val="Heading3"/>
      </w:pPr>
      <w:r>
        <w:rPr>
          <w:rFonts w:hint="eastAsia"/>
        </w:rPr>
        <w:t xml:space="preserve">独占禁止法配慮(最重要)</w:t>
      </w:r>
    </w:p>
    <w:p>
      <w:pPr>
        <w:pStyle w:val="FirstParagraph"/>
      </w:pPr>
      <w:r>
        <w:rPr>
          <w:rFonts w:hint="eastAsia"/>
        </w:rPr>
        <w:t xml:space="preserve">販売店契約には独占禁止法上の規律(公正取引委員会「流通・取引慣行に関する独占禁止法上の指針」)が及びます。次の点に特に注意してください。</w:t>
      </w:r>
    </w:p>
    <w:bookmarkStart w:id="48" w:name="再販売価格の拘束は原則違法"/>
    <w:p>
      <w:pPr>
        <w:pStyle w:val="Heading4"/>
      </w:pPr>
      <w:r>
        <w:t xml:space="preserve">① </w:t>
      </w:r>
      <w:r>
        <w:rPr>
          <w:rFonts w:hint="eastAsia"/>
        </w:rPr>
        <w:t xml:space="preserve">再販売価格の拘束は原則違法</w:t>
      </w:r>
    </w:p>
    <w:p>
      <w:pPr>
        <w:pStyle w:val="Compact"/>
        <w:numPr>
          <w:ilvl w:val="0"/>
          <w:numId w:val="1039"/>
        </w:numPr>
      </w:pPr>
      <w:r>
        <w:rPr>
          <w:rFonts w:hint="eastAsia"/>
        </w:rPr>
        <w:t xml:space="preserve">第11条は「乙の価格決定の自由」を明示する内容としています。</w:t>
      </w:r>
    </w:p>
    <w:p>
      <w:pPr>
        <w:pStyle w:val="Compact"/>
        <w:numPr>
          <w:ilvl w:val="0"/>
          <w:numId w:val="1039"/>
        </w:numPr>
      </w:pPr>
      <w:r>
        <w:rPr>
          <w:rFonts w:hint="eastAsia"/>
        </w:rPr>
        <w:t xml:space="preserve">「定価販売の強制」「値引き禁止」「値引き販売店への出荷停止」等はNG。</w:t>
      </w:r>
    </w:p>
    <w:p>
      <w:pPr>
        <w:pStyle w:val="Compact"/>
        <w:numPr>
          <w:ilvl w:val="0"/>
          <w:numId w:val="1039"/>
        </w:numPr>
      </w:pPr>
      <w:r>
        <w:rPr>
          <w:rFonts w:hint="eastAsia"/>
        </w:rPr>
        <w:t xml:space="preserve">希望小売価格の提示(参考価格)にとどめてください。</w:t>
      </w:r>
    </w:p>
    <w:bookmarkEnd w:id="48"/>
    <w:bookmarkStart w:id="49" w:name="テリトリー外販売の制限"/>
    <w:p>
      <w:pPr>
        <w:pStyle w:val="Heading4"/>
      </w:pPr>
      <w:r>
        <w:t xml:space="preserve">② </w:t>
      </w:r>
      <w:r>
        <w:rPr>
          <w:rFonts w:hint="eastAsia"/>
        </w:rPr>
        <w:t xml:space="preserve">テリトリー外販売の制限</w:t>
      </w:r>
    </w:p>
    <w:p>
      <w:pPr>
        <w:pStyle w:val="Compact"/>
        <w:numPr>
          <w:ilvl w:val="0"/>
          <w:numId w:val="1040"/>
        </w:numPr>
      </w:pPr>
      <w:r>
        <w:rPr>
          <w:rFonts w:hint="eastAsia"/>
        </w:rPr>
        <w:t xml:space="preserve">第4条は「能動的販売の制限」と「自発的注文への応答」を区別しています。</w:t>
      </w:r>
    </w:p>
    <w:p>
      <w:pPr>
        <w:pStyle w:val="Compact"/>
        <w:numPr>
          <w:ilvl w:val="0"/>
          <w:numId w:val="1040"/>
        </w:numPr>
      </w:pPr>
      <w:r>
        <w:rPr>
          <w:rFonts w:hint="eastAsia"/>
        </w:rPr>
        <w:t xml:space="preserve">「顧客からの自発的注文も拒否せよ」と命じることはNGです。</w:t>
      </w:r>
    </w:p>
    <w:bookmarkEnd w:id="49"/>
    <w:bookmarkStart w:id="50" w:name="取引先制限"/>
    <w:p>
      <w:pPr>
        <w:pStyle w:val="Heading4"/>
      </w:pPr>
      <w:r>
        <w:t xml:space="preserve">③ </w:t>
      </w:r>
      <w:r>
        <w:rPr>
          <w:rFonts w:hint="eastAsia"/>
        </w:rPr>
        <w:t xml:space="preserve">取引先制限</w:t>
      </w:r>
    </w:p>
    <w:p>
      <w:pPr>
        <w:pStyle w:val="Compact"/>
        <w:numPr>
          <w:ilvl w:val="0"/>
          <w:numId w:val="1041"/>
        </w:numPr>
      </w:pPr>
      <w:r>
        <w:rPr>
          <w:rFonts w:hint="eastAsia"/>
        </w:rPr>
        <w:t xml:space="preserve">「特定顧客には販売するな」「特定の販売チャネルでは販売するな」は不当な制限となる場合があります。</w:t>
      </w:r>
    </w:p>
    <w:bookmarkEnd w:id="50"/>
    <w:bookmarkStart w:id="51" w:name="競業品取扱の制限"/>
    <w:p>
      <w:pPr>
        <w:pStyle w:val="Heading4"/>
      </w:pPr>
      <w:r>
        <w:t xml:space="preserve">④ </w:t>
      </w:r>
      <w:r>
        <w:rPr>
          <w:rFonts w:hint="eastAsia"/>
        </w:rPr>
        <w:t xml:space="preserve">競業品取扱の制限</w:t>
      </w:r>
    </w:p>
    <w:p>
      <w:pPr>
        <w:pStyle w:val="Compact"/>
        <w:numPr>
          <w:ilvl w:val="0"/>
          <w:numId w:val="1042"/>
        </w:numPr>
      </w:pPr>
      <w:r>
        <w:rPr>
          <w:rFonts w:hint="eastAsia"/>
        </w:rPr>
        <w:t xml:space="preserve">第16条は「直接競合する他社製品」に限定しています。</w:t>
      </w:r>
    </w:p>
    <w:p>
      <w:pPr>
        <w:pStyle w:val="Compact"/>
        <w:numPr>
          <w:ilvl w:val="0"/>
          <w:numId w:val="1042"/>
        </w:numPr>
      </w:pPr>
      <w:r>
        <w:rPr>
          <w:rFonts w:hint="eastAsia"/>
        </w:rPr>
        <w:t xml:space="preserve">「他社製品を一切取り扱うな」とする過度に広範な制限は問題となります。</w:t>
      </w:r>
    </w:p>
    <w:bookmarkEnd w:id="51"/>
    <w:bookmarkStart w:id="52" w:name="抱き合わせ販売"/>
    <w:p>
      <w:pPr>
        <w:pStyle w:val="Heading4"/>
      </w:pPr>
      <w:r>
        <w:t xml:space="preserve">⑤ </w:t>
      </w:r>
      <w:r>
        <w:rPr>
          <w:rFonts w:hint="eastAsia"/>
        </w:rPr>
        <w:t xml:space="preserve">抱き合わせ販売</w:t>
      </w:r>
    </w:p>
    <w:p>
      <w:pPr>
        <w:pStyle w:val="Compact"/>
        <w:numPr>
          <w:ilvl w:val="0"/>
          <w:numId w:val="1043"/>
        </w:numPr>
      </w:pPr>
      <w:r>
        <w:rPr>
          <w:rFonts w:hint="eastAsia"/>
        </w:rPr>
        <w:t xml:space="preserve">「主力商品を仕入れたければ周辺商品も買え」はNGです。</w:t>
      </w:r>
    </w:p>
    <w:bookmarkEnd w:id="52"/>
    <w:bookmarkEnd w:id="53"/>
    <w:bookmarkStart w:id="54" w:name="販売店契約vs代理店契約の選択"/>
    <w:p>
      <w:pPr>
        <w:pStyle w:val="Heading3"/>
      </w:pPr>
      <w:r>
        <w:rPr>
          <w:rFonts w:hint="eastAsia"/>
        </w:rPr>
        <w:t xml:space="preserve">販売店契約vs代理店契約の選択</w:t>
      </w:r>
    </w:p>
    <w:p>
      <w:pPr>
        <w:pStyle w:val="Compact"/>
        <w:numPr>
          <w:ilvl w:val="0"/>
          <w:numId w:val="1044"/>
        </w:numPr>
      </w:pPr>
      <w:r>
        <w:rPr>
          <w:rFonts w:hint="eastAsia"/>
        </w:rPr>
        <w:t xml:space="preserve">本テンプレートは</w:t>
      </w:r>
      <w:r>
        <w:rPr>
          <w:rFonts w:hint="eastAsia"/>
          <w:b/>
          <w:bCs/>
        </w:rPr>
        <w:t xml:space="preserve">販売店契約(乙が自己名義・自己リスクで再販)</w:t>
      </w:r>
      <w:r>
        <w:rPr>
          <w:rFonts w:hint="eastAsia"/>
        </w:rPr>
        <w:t xml:space="preserve">を想定しています。</w:t>
      </w:r>
    </w:p>
    <w:p>
      <w:pPr>
        <w:pStyle w:val="Compact"/>
        <w:numPr>
          <w:ilvl w:val="0"/>
          <w:numId w:val="1044"/>
        </w:numPr>
      </w:pPr>
      <w:r>
        <w:rPr>
          <w:rFonts w:hint="eastAsia"/>
        </w:rPr>
        <w:t xml:space="preserve">代理店契約(乙が甲の代理として行為)とは、商品の所有権移転・在庫リスク・顧客との契約主体が異なります。</w:t>
      </w:r>
    </w:p>
    <w:p>
      <w:pPr>
        <w:pStyle w:val="Compact"/>
        <w:numPr>
          <w:ilvl w:val="0"/>
          <w:numId w:val="1044"/>
        </w:numPr>
      </w:pPr>
      <w:r>
        <w:rPr>
          <w:rFonts w:hint="eastAsia"/>
        </w:rPr>
        <w:t xml:space="preserve">契約タイトルではなく実態が重視されるため、業務の実情に合わせて選択してください。</w:t>
      </w:r>
    </w:p>
    <w:bookmarkEnd w:id="54"/>
    <w:bookmarkStart w:id="55" w:name="独占販売権最低購入数量の設計"/>
    <w:p>
      <w:pPr>
        <w:pStyle w:val="Heading3"/>
      </w:pPr>
      <w:r>
        <w:rPr>
          <w:rFonts w:hint="eastAsia"/>
        </w:rPr>
        <w:t xml:space="preserve">独占販売権・最低購入数量の設計</w:t>
      </w:r>
    </w:p>
    <w:p>
      <w:pPr>
        <w:pStyle w:val="Compact"/>
        <w:numPr>
          <w:ilvl w:val="0"/>
          <w:numId w:val="1045"/>
        </w:numPr>
      </w:pPr>
      <w:r>
        <w:rPr>
          <w:rFonts w:hint="eastAsia"/>
        </w:rPr>
        <w:t xml:space="preserve">第5条(独占販売権)・第10条(最低購入数量)は、いずれか一方のみを設定することも、両方を組み合わせることも可能です。</w:t>
      </w:r>
    </w:p>
    <w:p>
      <w:pPr>
        <w:pStyle w:val="Compact"/>
        <w:numPr>
          <w:ilvl w:val="0"/>
          <w:numId w:val="1045"/>
        </w:numPr>
      </w:pPr>
      <w:r>
        <w:rPr>
          <w:rFonts w:hint="eastAsia"/>
        </w:rPr>
        <w:t xml:space="preserve">独占権を付与する場合は、最低購入数量とセットで設計するのが実務的です。</w:t>
      </w:r>
    </w:p>
    <w:p>
      <w:pPr>
        <w:pStyle w:val="Compact"/>
        <w:numPr>
          <w:ilvl w:val="0"/>
          <w:numId w:val="1045"/>
        </w:numPr>
      </w:pPr>
      <w:r>
        <w:rPr>
          <w:rFonts w:hint="eastAsia"/>
        </w:rPr>
        <w:t xml:space="preserve">最低購入数量は、市場規模・販売店の販売実績を踏まえて合理的な水準に。過度な数量は達成困難で紛争の原因となります。</w:t>
      </w:r>
    </w:p>
    <w:p>
      <w:pPr>
        <w:pStyle w:val="Compact"/>
        <w:numPr>
          <w:ilvl w:val="0"/>
          <w:numId w:val="1045"/>
        </w:numPr>
      </w:pPr>
      <w:r>
        <w:rPr>
          <w:rFonts w:hint="eastAsia"/>
        </w:rPr>
        <w:t xml:space="preserve">未達成時の措置(独占権失効・契約終了・違約金等)は、過度な水準にならないよう注意してください。</w:t>
      </w:r>
    </w:p>
    <w:bookmarkEnd w:id="55"/>
    <w:bookmarkStart w:id="56" w:name="編集時の注意"/>
    <w:p>
      <w:pPr>
        <w:pStyle w:val="Heading3"/>
      </w:pPr>
      <w:r>
        <w:rPr>
          <w:rFonts w:hint="eastAsia"/>
        </w:rPr>
        <w:t xml:space="preserve">編集時の注意</w:t>
      </w:r>
    </w:p>
    <w:p>
      <w:pPr>
        <w:pStyle w:val="Compact"/>
        <w:numPr>
          <w:ilvl w:val="0"/>
          <w:numId w:val="1046"/>
        </w:numPr>
      </w:pPr>
      <w:r>
        <w:t xml:space="preserve">[ </w:t>
      </w:r>
      <w:r>
        <w:rPr>
          <w:rFonts w:hint="eastAsia"/>
        </w:rPr>
        <w:t xml:space="preserve">]括弧内の箇所は、自社の状況・取引内容に応じて編集してください。</w:t>
      </w:r>
    </w:p>
    <w:p>
      <w:pPr>
        <w:pStyle w:val="Compact"/>
        <w:numPr>
          <w:ilvl w:val="0"/>
          <w:numId w:val="1046"/>
        </w:numPr>
      </w:pPr>
      <w:r>
        <w:rPr>
          <w:rFonts w:hint="eastAsia"/>
        </w:rPr>
        <w:t xml:space="preserve">第5条(独占販売権)はA(独占)/B(非独占)から1つを選択し、他は削除してください。</w:t>
      </w:r>
    </w:p>
    <w:p>
      <w:pPr>
        <w:pStyle w:val="Compact"/>
        <w:numPr>
          <w:ilvl w:val="0"/>
          <w:numId w:val="1046"/>
        </w:numPr>
      </w:pPr>
      <w:r>
        <w:rPr>
          <w:rFonts w:hint="eastAsia"/>
        </w:rPr>
        <w:t xml:space="preserve">別紙(商品一覧・価格表・商品仕様書)は必ず作成し、契約書末尾に添付してください。</w:t>
      </w:r>
    </w:p>
    <w:p>
      <w:pPr>
        <w:pStyle w:val="Compact"/>
        <w:numPr>
          <w:ilvl w:val="0"/>
          <w:numId w:val="1046"/>
        </w:numPr>
      </w:pPr>
      <w:r>
        <w:rPr>
          <w:rFonts w:hint="eastAsia"/>
        </w:rPr>
        <w:t xml:space="preserve">個人情報を取り扱わない取引では、第18条を削除しても問題ありません。</w:t>
      </w:r>
    </w:p>
    <w:bookmarkEnd w:id="56"/>
    <w:bookmarkStart w:id="57" w:name="海外取引の場合"/>
    <w:p>
      <w:pPr>
        <w:pStyle w:val="Heading3"/>
      </w:pPr>
      <w:r>
        <w:rPr>
          <w:rFonts w:hint="eastAsia"/>
        </w:rPr>
        <w:t xml:space="preserve">海外取引の場合</w:t>
      </w:r>
    </w:p>
    <w:p>
      <w:pPr>
        <w:pStyle w:val="Compact"/>
        <w:numPr>
          <w:ilvl w:val="0"/>
          <w:numId w:val="1047"/>
        </w:numPr>
      </w:pPr>
      <w:r>
        <w:rPr>
          <w:rFonts w:hint="eastAsia"/>
        </w:rPr>
        <w:t xml:space="preserve">海外販売店との契約では、次の点について必ず国際取引に精通した弁護士にご相談ください。</w:t>
      </w:r>
    </w:p>
    <w:p>
      <w:pPr>
        <w:pStyle w:val="Compact"/>
        <w:numPr>
          <w:ilvl w:val="1"/>
          <w:numId w:val="1048"/>
        </w:numPr>
      </w:pPr>
      <w:r>
        <w:rPr>
          <w:rFonts w:hint="eastAsia"/>
          <w:b/>
          <w:bCs/>
        </w:rPr>
        <w:t xml:space="preserve">準拠法・裁判管轄</w:t>
      </w:r>
      <w:r>
        <w:rPr>
          <w:rFonts w:hint="eastAsia"/>
        </w:rPr>
        <w:t xml:space="preserve">(又は仲裁機関の選択:JCAA・ICC等)</w:t>
      </w:r>
    </w:p>
    <w:p>
      <w:pPr>
        <w:pStyle w:val="Compact"/>
        <w:numPr>
          <w:ilvl w:val="1"/>
          <w:numId w:val="1048"/>
        </w:numPr>
      </w:pPr>
      <w:r>
        <w:rPr>
          <w:rFonts w:hint="eastAsia"/>
          <w:b/>
          <w:bCs/>
        </w:rPr>
        <w:t xml:space="preserve">国際物品売買条約(CISG)の適用排除</w:t>
      </w:r>
      <w:r>
        <w:rPr>
          <w:rFonts w:hint="eastAsia"/>
        </w:rPr>
        <w:t xml:space="preserve">の要否</w:t>
      </w:r>
    </w:p>
    <w:p>
      <w:pPr>
        <w:pStyle w:val="Compact"/>
        <w:numPr>
          <w:ilvl w:val="1"/>
          <w:numId w:val="1048"/>
        </w:numPr>
      </w:pPr>
      <w:r>
        <w:rPr>
          <w:rFonts w:hint="eastAsia"/>
          <w:b/>
          <w:bCs/>
        </w:rPr>
        <w:t xml:space="preserve">現地の競争法対応</w:t>
      </w:r>
      <w:r>
        <w:rPr>
          <w:rFonts w:hint="eastAsia"/>
        </w:rPr>
        <w:t xml:space="preserve">(EU競争法・米国独禁法等)</w:t>
      </w:r>
    </w:p>
    <w:p>
      <w:pPr>
        <w:pStyle w:val="Compact"/>
        <w:numPr>
          <w:ilvl w:val="1"/>
          <w:numId w:val="1048"/>
        </w:numPr>
      </w:pPr>
      <w:r>
        <w:rPr>
          <w:rFonts w:hint="eastAsia"/>
          <w:b/>
          <w:bCs/>
        </w:rPr>
        <w:t xml:space="preserve">為替・通貨・支払方法</w:t>
      </w:r>
      <w:r>
        <w:rPr>
          <w:rFonts w:hint="eastAsia"/>
        </w:rPr>
        <w:t xml:space="preserve">(信用状・前金等)</w:t>
      </w:r>
    </w:p>
    <w:p>
      <w:pPr>
        <w:pStyle w:val="Compact"/>
        <w:numPr>
          <w:ilvl w:val="1"/>
          <w:numId w:val="1048"/>
        </w:numPr>
      </w:pPr>
      <w:r>
        <w:rPr>
          <w:rFonts w:hint="eastAsia"/>
          <w:b/>
          <w:bCs/>
        </w:rPr>
        <w:t xml:space="preserve">輸出入手続・関税負担・通関責任</w:t>
      </w:r>
    </w:p>
    <w:p>
      <w:pPr>
        <w:pStyle w:val="Compact"/>
        <w:numPr>
          <w:ilvl w:val="1"/>
          <w:numId w:val="1048"/>
        </w:numPr>
      </w:pPr>
      <w:r>
        <w:rPr>
          <w:rFonts w:hint="eastAsia"/>
          <w:b/>
          <w:bCs/>
        </w:rPr>
        <w:t xml:space="preserve">輸出管理令その他の輸出規制</w:t>
      </w:r>
    </w:p>
    <w:bookmarkEnd w:id="57"/>
    <w:bookmarkStart w:id="58" w:name="業界特有の追加条項"/>
    <w:p>
      <w:pPr>
        <w:pStyle w:val="Heading3"/>
      </w:pPr>
      <w:r>
        <w:rPr>
          <w:rFonts w:hint="eastAsia"/>
        </w:rPr>
        <w:t xml:space="preserve">業界特有の追加条項</w:t>
      </w:r>
    </w:p>
    <w:p>
      <w:pPr>
        <w:pStyle w:val="Compact"/>
        <w:numPr>
          <w:ilvl w:val="0"/>
          <w:numId w:val="1049"/>
        </w:numPr>
      </w:pPr>
      <w:r>
        <w:rPr>
          <w:rFonts w:hint="eastAsia"/>
          <w:b/>
          <w:bCs/>
        </w:rPr>
        <w:t xml:space="preserve">食品・化粧品・医薬部外品</w:t>
      </w:r>
      <w:r>
        <w:rPr>
          <w:rFonts w:hint="eastAsia"/>
        </w:rPr>
        <w:t xml:space="preserve">:食品衛生法・薬機法対応、製造業許可番号等</w:t>
      </w:r>
    </w:p>
    <w:p>
      <w:pPr>
        <w:pStyle w:val="Compact"/>
        <w:numPr>
          <w:ilvl w:val="0"/>
          <w:numId w:val="1049"/>
        </w:numPr>
      </w:pPr>
      <w:r>
        <w:rPr>
          <w:rFonts w:hint="eastAsia"/>
          <w:b/>
          <w:bCs/>
        </w:rPr>
        <w:t xml:space="preserve">家電・電子機器</w:t>
      </w:r>
      <w:r>
        <w:rPr>
          <w:rFonts w:hint="eastAsia"/>
        </w:rPr>
        <w:t xml:space="preserve">:電気用品安全法対応、リコール対応</w:t>
      </w:r>
    </w:p>
    <w:p>
      <w:pPr>
        <w:pStyle w:val="Compact"/>
        <w:numPr>
          <w:ilvl w:val="0"/>
          <w:numId w:val="1049"/>
        </w:numPr>
      </w:pPr>
      <w:r>
        <w:rPr>
          <w:rFonts w:hint="eastAsia"/>
          <w:b/>
          <w:bCs/>
        </w:rPr>
        <w:t xml:space="preserve">アルコール飲料・たばこ</w:t>
      </w:r>
      <w:r>
        <w:rPr>
          <w:rFonts w:hint="eastAsia"/>
        </w:rPr>
        <w:t xml:space="preserve">:免許・許可関連の表明保証</w:t>
      </w:r>
    </w:p>
    <w:p>
      <w:pPr>
        <w:pStyle w:val="Compact"/>
        <w:numPr>
          <w:ilvl w:val="0"/>
          <w:numId w:val="1049"/>
        </w:numPr>
      </w:pPr>
      <w:r>
        <w:rPr>
          <w:rFonts w:hint="eastAsia"/>
          <w:b/>
          <w:bCs/>
        </w:rPr>
        <w:t xml:space="preserve">化学品・危険物</w:t>
      </w:r>
      <w:r>
        <w:rPr>
          <w:rFonts w:hint="eastAsia"/>
        </w:rPr>
        <w:t xml:space="preserve">:安全データシート(SDS)の提供義務</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販売店契約は独占禁止法・各業界規制等の複合的規律対象であり、本格運用にあたっては必ず弁護士・税理士等の専門家にご相談ください。</w:t>
      </w:r>
    </w:p>
    <w:bookmarkEnd w:id="58"/>
    <w:bookmarkEnd w:id="59"/>
    <w:bookmarkEnd w:id="6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2026-06-16T00:52:14Z</dcterms:created>
  <dcterms:modified xsi:type="dcterms:W3CDTF">2026-06-16T00:52:14Z</dcterms:modified>
</cp:coreProperties>
</file>

<file path=docProps/custom.xml><?xml version="1.0" encoding="utf-8"?>
<Properties xmlns="http://schemas.openxmlformats.org/officeDocument/2006/custom-properties" xmlns:vt="http://schemas.openxmlformats.org/officeDocument/2006/docPropsVTypes"/>
</file>