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秘密保持契約書"/>
    <w:p>
      <w:pPr>
        <w:pStyle w:val="Heading1"/>
      </w:pPr>
      <w:r>
        <w:rPr>
          <w:rFonts w:hint="eastAsia"/>
        </w:rPr>
        <w:t xml:space="preserve">秘密保持契約書</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2"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乙の正式名称(例:○○株式会社)</w:t>
        </w:r>
      </w:hyperlink>
      <w:r>
        <w:t xml:space="preserve">は、</w:t>
      </w:r>
      <w:hyperlink r:id="rId11">
        <w:r>
          <w:rPr>
            <w:rStyle w:val="Hyperlink"/>
            <w:rFonts w:hint="eastAsia"/>
          </w:rPr>
          <w:t xml:space="preserve">本目的を具体的に記載(例:○○事業に関する業務提携の検討)</w:t>
        </w:r>
      </w:hyperlink>
      <w:r>
        <w:rPr>
          <w:rFonts w:hint="eastAsia"/>
        </w:rPr>
        <w:t xml:space="preserve">に関し、甲及び乙が相互に開示する秘密情報の取扱いについて、以下のとおり秘密保持契約(以下「本契約」という。)を締結する。</w:t>
      </w:r>
    </w:p>
    <w:p>
      <w:r>
        <w:pict>
          <v:rect style="width:0;height:1.5pt" o:hralign="center" o:hrstd="t" o:hr="t"/>
        </w:pict>
      </w:r>
    </w:p>
    <w:bookmarkEnd w:id="12"/>
    <w:bookmarkStart w:id="13"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締結の目的を明確化する条文です。「本目的」を具体的に書くことで、後述する秘密情報の使用範囲(目的外使用禁止)が明確になります。曖昧な目的記載はトラブルの原因となるため、可能な限り具体的に記載してください。</w:t>
      </w:r>
    </w:p>
    <w:p>
      <w:pPr>
        <w:pStyle w:val="BodyText"/>
      </w:pPr>
      <w:r>
        <w:rPr>
          <w:rFonts w:hint="eastAsia"/>
        </w:rPr>
        <w:t xml:space="preserve">本契約は、本目的の遂行のために、甲及び乙が相互に開示する秘密情報の取扱いに関し、必要な事項を定めることを目的とする。</w:t>
      </w:r>
    </w:p>
    <w:p>
      <w:r>
        <w:pict>
          <v:rect style="width:0;height:1.5pt" o:hralign="center" o:hrstd="t" o:hr="t"/>
        </w:pict>
      </w:r>
    </w:p>
    <w:bookmarkEnd w:id="13"/>
    <w:bookmarkStart w:id="14" w:name="第2条秘密情報の定義"/>
    <w:p>
      <w:pPr>
        <w:pStyle w:val="Heading2"/>
      </w:pPr>
      <w:r>
        <w:rPr>
          <w:rFonts w:hint="eastAsia"/>
        </w:rPr>
        <w:t xml:space="preserve">第2条(秘密情報の定義)</w:t>
      </w:r>
    </w:p>
    <w:p>
      <w:pPr>
        <w:pStyle w:val="FirstParagraph"/>
      </w:pPr>
      <w:r>
        <w:rPr>
          <w:rFonts w:hint="eastAsia"/>
          <w:b/>
          <w:bCs/>
        </w:rPr>
        <w:t xml:space="preserve">【解説】</w:t>
      </w:r>
      <w:r>
        <w:t xml:space="preserve"> </w:t>
      </w:r>
      <w:r>
        <w:rPr>
          <w:rFonts w:hint="eastAsia"/>
        </w:rPr>
        <w:t xml:space="preserve">NDAの中核となる条文です。秘密情報の範囲を広めに定義することで、後日の紛争を予防します。「口頭・書面・電磁的記録」と媒体を網羅し、「技術・営業・財務」等のカテゴリも明示するのが実務上の標準です。</w:t>
      </w:r>
    </w:p>
    <w:p>
      <w:pPr>
        <w:numPr>
          <w:ilvl w:val="0"/>
          <w:numId w:val="1001"/>
        </w:numPr>
      </w:pPr>
      <w:r>
        <w:rPr>
          <w:rFonts w:hint="eastAsia"/>
        </w:rPr>
        <w:t xml:space="preserve">本契約において「秘密情報」とは、本目的のために甲又は乙(以下、開示する当事者を「開示者」、受領する当事者を「受領者」という。)が、口頭、書面、電磁的記録、サンプル、デモンストレーションその他の媒体・方法により、相手方に開示又は提供した一切の情報をいい、技術上、営業上、財務上、人事上その他事業に関する情報を含む。</w:t>
      </w:r>
    </w:p>
    <w:p>
      <w:pPr>
        <w:numPr>
          <w:ilvl w:val="0"/>
          <w:numId w:val="1001"/>
        </w:numPr>
      </w:pPr>
      <w:r>
        <w:rPr>
          <w:rFonts w:hint="eastAsia"/>
        </w:rPr>
        <w:t xml:space="preserve">前項にかかわらず、開示者は、書面又は電磁的記録により秘密情報を開示する場合、当該情報が秘密情報である旨を明示するものとする。ただし、明示がなくとも、その性質上秘密として扱われるべきことが明らかな情報については、秘密情報として取り扱うものとする。</w:t>
      </w:r>
    </w:p>
    <w:p>
      <w:pPr>
        <w:numPr>
          <w:ilvl w:val="0"/>
          <w:numId w:val="1001"/>
        </w:numPr>
      </w:pPr>
      <w:r>
        <w:rPr>
          <w:rFonts w:hint="eastAsia"/>
        </w:rPr>
        <w:t xml:space="preserve">口頭、視覚的表示その他無形の方法により秘密情報を開示する場合、開示者は開示時にその旨を相手方に通知するものとする。</w:t>
      </w:r>
    </w:p>
    <w:p>
      <w:r>
        <w:pict>
          <v:rect style="width:0;height:1.5pt" o:hralign="center" o:hrstd="t" o:hr="t"/>
        </w:pict>
      </w:r>
    </w:p>
    <w:bookmarkEnd w:id="14"/>
    <w:bookmarkStart w:id="15" w:name="第3条秘密情報の例外"/>
    <w:p>
      <w:pPr>
        <w:pStyle w:val="Heading2"/>
      </w:pPr>
      <w:r>
        <w:rPr>
          <w:rFonts w:hint="eastAsia"/>
        </w:rPr>
        <w:t xml:space="preserve">第3条(秘密情報の例外)</w:t>
      </w:r>
    </w:p>
    <w:p>
      <w:pPr>
        <w:pStyle w:val="FirstParagraph"/>
      </w:pPr>
      <w:r>
        <w:rPr>
          <w:rFonts w:hint="eastAsia"/>
          <w:b/>
          <w:bCs/>
        </w:rPr>
        <w:t xml:space="preserve">【解説】</w:t>
      </w:r>
      <w:r>
        <w:t xml:space="preserve"> </w:t>
      </w:r>
      <w:r>
        <w:rPr>
          <w:rFonts w:hint="eastAsia"/>
        </w:rPr>
        <w:t xml:space="preserve">受領者を不当に縛らないための除外規定です。一般的に5つの除外事由を定めるのが業界慣行です。この条項がないと、受領者が独自に保有していた情報まで秘密情報として扱われるリスクがあり、受領者側が拒否しがちな契約となります。</w:t>
      </w:r>
    </w:p>
    <w:p>
      <w:pPr>
        <w:pStyle w:val="BodyText"/>
      </w:pPr>
      <w:r>
        <w:rPr>
          <w:rFonts w:hint="eastAsia"/>
        </w:rPr>
        <w:t xml:space="preserve">前条の規定にかかわらず、次の各号のいずれかに該当することを受領者が立証できる情報は、秘密情報に含まれないものとする。</w:t>
      </w:r>
    </w:p>
    <w:p>
      <w:pPr>
        <w:pStyle w:val="Compact"/>
        <w:numPr>
          <w:ilvl w:val="0"/>
          <w:numId w:val="1002"/>
        </w:numPr>
      </w:pPr>
      <w:r>
        <w:rPr>
          <w:rFonts w:hint="eastAsia"/>
        </w:rPr>
        <w:t xml:space="preserve">開示の時点で、既に公知となっていた情報</w:t>
      </w:r>
    </w:p>
    <w:p>
      <w:pPr>
        <w:pStyle w:val="Compact"/>
        <w:numPr>
          <w:ilvl w:val="0"/>
          <w:numId w:val="1002"/>
        </w:numPr>
      </w:pPr>
      <w:r>
        <w:rPr>
          <w:rFonts w:hint="eastAsia"/>
        </w:rPr>
        <w:t xml:space="preserve">開示後、受領者の責めに帰すべき事由によらず公知となった情報</w:t>
      </w:r>
    </w:p>
    <w:p>
      <w:pPr>
        <w:pStyle w:val="Compact"/>
        <w:numPr>
          <w:ilvl w:val="0"/>
          <w:numId w:val="1002"/>
        </w:numPr>
      </w:pPr>
      <w:r>
        <w:rPr>
          <w:rFonts w:hint="eastAsia"/>
        </w:rPr>
        <w:t xml:space="preserve">開示の時点で、受領者が既に正当に保有していた情報</w:t>
      </w:r>
    </w:p>
    <w:p>
      <w:pPr>
        <w:pStyle w:val="Compact"/>
        <w:numPr>
          <w:ilvl w:val="0"/>
          <w:numId w:val="1002"/>
        </w:numPr>
      </w:pPr>
      <w:r>
        <w:rPr>
          <w:rFonts w:hint="eastAsia"/>
        </w:rPr>
        <w:t xml:space="preserve">開示後、秘密保持義務を負わない第三者から正当に取得した情報</w:t>
      </w:r>
    </w:p>
    <w:p>
      <w:pPr>
        <w:pStyle w:val="Compact"/>
        <w:numPr>
          <w:ilvl w:val="0"/>
          <w:numId w:val="1002"/>
        </w:numPr>
      </w:pPr>
      <w:r>
        <w:rPr>
          <w:rFonts w:hint="eastAsia"/>
        </w:rPr>
        <w:t xml:space="preserve">開示された秘密情報によらず、受領者が独自に開発又は取得した情報</w:t>
      </w:r>
    </w:p>
    <w:p>
      <w:pPr>
        <w:pStyle w:val="Compact"/>
        <w:numPr>
          <w:ilvl w:val="0"/>
          <w:numId w:val="1002"/>
        </w:numPr>
      </w:pPr>
      <w:r>
        <w:rPr>
          <w:rFonts w:hint="eastAsia"/>
        </w:rPr>
        <w:t xml:space="preserve">法令、行政機関、裁判所又は規制当局の要求により開示が義務付けられる情報(ただし、受領者は開示前に開示者に通知するものとする。)</w:t>
      </w:r>
    </w:p>
    <w:p>
      <w:r>
        <w:pict>
          <v:rect style="width:0;height:1.5pt" o:hralign="center" o:hrstd="t" o:hr="t"/>
        </w:pict>
      </w:r>
    </w:p>
    <w:bookmarkEnd w:id="15"/>
    <w:bookmarkStart w:id="16" w:name="第4条秘密保持義務"/>
    <w:p>
      <w:pPr>
        <w:pStyle w:val="Heading2"/>
      </w:pPr>
      <w:r>
        <w:rPr>
          <w:rFonts w:hint="eastAsia"/>
        </w:rPr>
        <w:t xml:space="preserve">第4条(秘密保持義務)</w:t>
      </w:r>
    </w:p>
    <w:p>
      <w:pPr>
        <w:pStyle w:val="FirstParagraph"/>
      </w:pPr>
      <w:r>
        <w:rPr>
          <w:rFonts w:hint="eastAsia"/>
          <w:b/>
          <w:bCs/>
        </w:rPr>
        <w:t xml:space="preserve">【解説】</w:t>
      </w:r>
      <w:r>
        <w:t xml:space="preserve"> </w:t>
      </w:r>
      <w:r>
        <w:rPr>
          <w:rFonts w:hint="eastAsia"/>
        </w:rPr>
        <w:t xml:space="preserve">NDAの実効性を担保する中心的な条文です。「目的外使用の禁止」と「第三者開示の禁止」の2つを必ず明記します。「事前の書面による承諾」を原則とすることで、口頭での安易な開示を防ぎます。</w:t>
      </w:r>
    </w:p>
    <w:p>
      <w:pPr>
        <w:numPr>
          <w:ilvl w:val="0"/>
          <w:numId w:val="1003"/>
        </w:numPr>
      </w:pPr>
      <w:r>
        <w:rPr>
          <w:rFonts w:hint="eastAsia"/>
        </w:rPr>
        <w:t xml:space="preserve">受領者は、秘密情報を本目的の遂行のためにのみ使用し、本目的以外の目的で使用してはならない。</w:t>
      </w:r>
    </w:p>
    <w:p>
      <w:pPr>
        <w:numPr>
          <w:ilvl w:val="0"/>
          <w:numId w:val="1003"/>
        </w:numPr>
      </w:pPr>
      <w:r>
        <w:rPr>
          <w:rFonts w:hint="eastAsia"/>
        </w:rPr>
        <w:t xml:space="preserve">受領者は、開示者の事前の書面又は電磁的方法による承諾を得ずに、秘密情報を第三者(次条に定める開示許容者を除く。)に開示、漏えい又は提供してはならない。</w:t>
      </w:r>
    </w:p>
    <w:p>
      <w:pPr>
        <w:numPr>
          <w:ilvl w:val="0"/>
          <w:numId w:val="1003"/>
        </w:numPr>
      </w:pPr>
      <w:r>
        <w:rPr>
          <w:rFonts w:hint="eastAsia"/>
        </w:rPr>
        <w:t xml:space="preserve">受領者は、秘密情報を善良なる管理者の注意義務をもって管理するものとし、自己の秘密情報に対するのと同等以上の注意をもって取り扱う。</w:t>
      </w:r>
    </w:p>
    <w:p>
      <w:pPr>
        <w:numPr>
          <w:ilvl w:val="0"/>
          <w:numId w:val="1003"/>
        </w:numPr>
      </w:pPr>
      <w:r>
        <w:rPr>
          <w:rFonts w:hint="eastAsia"/>
        </w:rPr>
        <w:t xml:space="preserve">受領者は、秘密情報の漏えい、紛失、改ざんその他の事故が発生した場合、又はそのおそれがあることを知った場合、直ちに開示者に通知し、その指示に従い必要な措置を講じるものとする。</w:t>
      </w:r>
    </w:p>
    <w:p>
      <w:r>
        <w:pict>
          <v:rect style="width:0;height:1.5pt" o:hralign="center" o:hrstd="t" o:hr="t"/>
        </w:pict>
      </w:r>
    </w:p>
    <w:bookmarkEnd w:id="16"/>
    <w:bookmarkStart w:id="17" w:name="第5条開示許容範囲"/>
    <w:p>
      <w:pPr>
        <w:pStyle w:val="Heading2"/>
      </w:pPr>
      <w:r>
        <w:rPr>
          <w:rFonts w:hint="eastAsia"/>
        </w:rPr>
        <w:t xml:space="preserve">第5条(開示許容範囲)</w:t>
      </w:r>
    </w:p>
    <w:p>
      <w:pPr>
        <w:pStyle w:val="FirstParagraph"/>
      </w:pPr>
      <w:r>
        <w:rPr>
          <w:rFonts w:hint="eastAsia"/>
          <w:b/>
          <w:bCs/>
        </w:rPr>
        <w:t xml:space="preserve">【解説】</w:t>
      </w:r>
      <w:r>
        <w:t xml:space="preserve"> </w:t>
      </w:r>
      <w:r>
        <w:rPr>
          <w:rFonts w:hint="eastAsia"/>
        </w:rPr>
        <w:t xml:space="preserve">業務遂行上やむを得ず秘密情報を共有する範囲を定めます。「役員・従業員・専門家」が一般的ですが、業務委託先や下請先も含める場合は明示が必要です。開示先にも同等の秘密保持義務を負わせる規定は必須です。</w:t>
      </w:r>
    </w:p>
    <w:p>
      <w:pPr>
        <w:pStyle w:val="Compact"/>
        <w:numPr>
          <w:ilvl w:val="0"/>
          <w:numId w:val="1004"/>
        </w:numPr>
      </w:pPr>
      <w:r>
        <w:rPr>
          <w:rFonts w:hint="eastAsia"/>
        </w:rPr>
        <w:t xml:space="preserve">受領者は、本目的の遂行のために合理的に必要な範囲内に限り、次の各号に掲げる者(以下「開示許容者」という。)に対して秘密情報を開示することができる。</w:t>
      </w:r>
    </w:p>
    <w:p>
      <w:pPr>
        <w:pStyle w:val="Compact"/>
        <w:numPr>
          <w:ilvl w:val="0"/>
          <w:numId w:val="1005"/>
        </w:numPr>
      </w:pPr>
      <w:r>
        <w:rPr>
          <w:rFonts w:hint="eastAsia"/>
        </w:rPr>
        <w:t xml:space="preserve">受領者の役員及び従業員</w:t>
      </w:r>
    </w:p>
    <w:p>
      <w:pPr>
        <w:pStyle w:val="Compact"/>
        <w:numPr>
          <w:ilvl w:val="0"/>
          <w:numId w:val="1005"/>
        </w:numPr>
      </w:pPr>
      <w:r>
        <w:rPr>
          <w:rFonts w:hint="eastAsia"/>
        </w:rPr>
        <w:t xml:space="preserve">受領者から本目的の遂行に関する業務を受託する弁護士、公認会計士、税理士その他の専門家</w:t>
      </w:r>
    </w:p>
    <w:p>
      <w:pPr>
        <w:pStyle w:val="Compact"/>
        <w:numPr>
          <w:ilvl w:val="0"/>
          <w:numId w:val="1005"/>
        </w:numPr>
      </w:pPr>
      <w:r>
        <w:rPr>
          <w:rFonts w:hint="eastAsia"/>
        </w:rPr>
        <w:t xml:space="preserve">前各号のほか、開示者が事前に書面又は電磁的方法により承諾した者</w:t>
      </w:r>
    </w:p>
    <w:p>
      <w:pPr>
        <w:pStyle w:val="Compact"/>
        <w:numPr>
          <w:ilvl w:val="0"/>
          <w:numId w:val="1006"/>
        </w:numPr>
      </w:pPr>
      <w:r>
        <w:rPr>
          <w:rFonts w:hint="eastAsia"/>
        </w:rPr>
        <w:t xml:space="preserve">受領者は、開示許容者に対して秘密情報を開示するにあたり、本契約と同等以上の秘密保持義務を負わせるものとし、開示許容者の秘密情報の取扱いについて一切の責任を負うものとする。</w:t>
      </w:r>
    </w:p>
    <w:p>
      <w:r>
        <w:pict>
          <v:rect style="width:0;height:1.5pt" o:hralign="center" o:hrstd="t" o:hr="t"/>
        </w:pict>
      </w:r>
    </w:p>
    <w:bookmarkEnd w:id="17"/>
    <w:bookmarkStart w:id="18" w:name="第6条個人情報の取扱い"/>
    <w:p>
      <w:pPr>
        <w:pStyle w:val="Heading2"/>
      </w:pPr>
      <w:r>
        <w:rPr>
          <w:rFonts w:hint="eastAsia"/>
        </w:rPr>
        <w:t xml:space="preserve">第6条(個人情報の取扱い)</w:t>
      </w:r>
    </w:p>
    <w:p>
      <w:pPr>
        <w:pStyle w:val="FirstParagraph"/>
      </w:pPr>
      <w:r>
        <w:rPr>
          <w:rFonts w:hint="eastAsia"/>
          <w:b/>
          <w:bCs/>
        </w:rPr>
        <w:t xml:space="preserve">【解説】</w:t>
      </w:r>
      <w:r>
        <w:t xml:space="preserve"> </w:t>
      </w:r>
      <w:r>
        <w:rPr>
          <w:rFonts w:hint="eastAsia"/>
        </w:rPr>
        <w:t xml:space="preserve">秘密情報に個人情報が含まれる場合に備えた条項です。個人情報保護法の改正を踏まえ、漏えい時の通知義務・委託先監督義務に対応します。個人情報を一切取り扱わない契約では削除可能です。</w:t>
      </w:r>
    </w:p>
    <w:p>
      <w:pPr>
        <w:numPr>
          <w:ilvl w:val="0"/>
          <w:numId w:val="1007"/>
        </w:numPr>
      </w:pPr>
      <w:r>
        <w:rPr>
          <w:rFonts w:hint="eastAsia"/>
        </w:rPr>
        <w:t xml:space="preserve">受領者は、秘密情報に個人情報(個人情報の保護に関する法律(以下「個人情報保護法」という。)第2条第1項に定める個人情報をいう。以下同じ。)が含まれる場合、個人情報保護法その他関連法令を遵守し、これを適切に取り扱う。</w:t>
      </w:r>
    </w:p>
    <w:p>
      <w:pPr>
        <w:numPr>
          <w:ilvl w:val="0"/>
          <w:numId w:val="1007"/>
        </w:numPr>
      </w:pPr>
      <w:r>
        <w:rPr>
          <w:rFonts w:hint="eastAsia"/>
        </w:rPr>
        <w:t xml:space="preserve">受領者は、個人情報の漏えい、滅失、毀損その他の事故が発生した場合、又はそのおそれがある場合、直ちに開示者に通知し、開示者の指示に従い必要な措置を講じるものとする。</w:t>
      </w:r>
    </w:p>
    <w:p>
      <w:pPr>
        <w:numPr>
          <w:ilvl w:val="0"/>
          <w:numId w:val="1007"/>
        </w:numPr>
      </w:pPr>
      <w:r>
        <w:rPr>
          <w:rFonts w:hint="eastAsia"/>
        </w:rPr>
        <w:t xml:space="preserve">受領者は、開示者の事前の書面による承諾なく、個人情報を本目的以外の目的で利用してはならない。</w:t>
      </w:r>
    </w:p>
    <w:p>
      <w:r>
        <w:pict>
          <v:rect style="width:0;height:1.5pt" o:hralign="center" o:hrstd="t" o:hr="t"/>
        </w:pict>
      </w:r>
    </w:p>
    <w:bookmarkEnd w:id="18"/>
    <w:bookmarkStart w:id="19" w:name="第7条秘密情報の複製等"/>
    <w:p>
      <w:pPr>
        <w:pStyle w:val="Heading2"/>
      </w:pPr>
      <w:r>
        <w:rPr>
          <w:rFonts w:hint="eastAsia"/>
        </w:rPr>
        <w:t xml:space="preserve">第7条(秘密情報の複製等)</w:t>
      </w:r>
    </w:p>
    <w:p>
      <w:pPr>
        <w:pStyle w:val="FirstParagraph"/>
      </w:pPr>
      <w:r>
        <w:rPr>
          <w:rFonts w:hint="eastAsia"/>
          <w:b/>
          <w:bCs/>
        </w:rPr>
        <w:t xml:space="preserve">【解説】</w:t>
      </w:r>
      <w:r>
        <w:t xml:space="preserve"> </w:t>
      </w:r>
      <w:r>
        <w:rPr>
          <w:rFonts w:hint="eastAsia"/>
        </w:rPr>
        <w:t xml:space="preserve">秘密情報の複製・改変を制限する条項です。デジタルデータが容易に複製・転送できる現代では、この条項の重要性が増しています。複製物にも本契約の規定が及ぶことを明示します。</w:t>
      </w:r>
    </w:p>
    <w:p>
      <w:pPr>
        <w:numPr>
          <w:ilvl w:val="0"/>
          <w:numId w:val="1008"/>
        </w:numPr>
      </w:pPr>
      <w:r>
        <w:rPr>
          <w:rFonts w:hint="eastAsia"/>
        </w:rPr>
        <w:t xml:space="preserve">受領者は、本目的の遂行のために必要な範囲内でのみ、秘密情報を複製、複写、加工又は改変することができる。</w:t>
      </w:r>
    </w:p>
    <w:p>
      <w:pPr>
        <w:numPr>
          <w:ilvl w:val="0"/>
          <w:numId w:val="1008"/>
        </w:numPr>
      </w:pPr>
      <w:r>
        <w:rPr>
          <w:rFonts w:hint="eastAsia"/>
        </w:rPr>
        <w:t xml:space="preserve">前項に基づき作成された複製物等についても、秘密情報として本契約の規定が適用される。</w:t>
      </w:r>
    </w:p>
    <w:p>
      <w:r>
        <w:pict>
          <v:rect style="width:0;height:1.5pt" o:hralign="center" o:hrstd="t" o:hr="t"/>
        </w:pict>
      </w:r>
    </w:p>
    <w:bookmarkEnd w:id="19"/>
    <w:bookmarkStart w:id="20" w:name="第8条秘密情報の返還破棄"/>
    <w:p>
      <w:pPr>
        <w:pStyle w:val="Heading2"/>
      </w:pPr>
      <w:r>
        <w:rPr>
          <w:rFonts w:hint="eastAsia"/>
        </w:rPr>
        <w:t xml:space="preserve">第8条(秘密情報の返還・破棄)</w:t>
      </w:r>
    </w:p>
    <w:p>
      <w:pPr>
        <w:pStyle w:val="FirstParagraph"/>
      </w:pPr>
      <w:r>
        <w:rPr>
          <w:rFonts w:hint="eastAsia"/>
          <w:b/>
          <w:bCs/>
        </w:rPr>
        <w:t xml:space="preserve">【解説】</w:t>
      </w:r>
      <w:r>
        <w:t xml:space="preserve"> </w:t>
      </w:r>
      <w:r>
        <w:rPr>
          <w:rFonts w:hint="eastAsia"/>
        </w:rPr>
        <w:t xml:space="preserve">契約終了時の秘密情報の処理を定めます。返還か破棄かは契約終了時の状況に応じて選択できる規定とするのが実務的です。電子データの破棄証明を求める運用もあります。</w:t>
      </w:r>
    </w:p>
    <w:p>
      <w:pPr>
        <w:numPr>
          <w:ilvl w:val="0"/>
          <w:numId w:val="1009"/>
        </w:numPr>
      </w:pPr>
      <w:r>
        <w:rPr>
          <w:rFonts w:hint="eastAsia"/>
        </w:rPr>
        <w:t xml:space="preserve">受領者は、本契約が終了したとき、又は開示者から請求があったときは、速やかに、開示者の指示に従い、保有する秘密情報(その複製物、加工物及び要約等を含む。)を開示者に返還し、又は破棄するものとする。</w:t>
      </w:r>
    </w:p>
    <w:p>
      <w:pPr>
        <w:numPr>
          <w:ilvl w:val="0"/>
          <w:numId w:val="1009"/>
        </w:numPr>
      </w:pPr>
      <w:r>
        <w:rPr>
          <w:rFonts w:hint="eastAsia"/>
        </w:rPr>
        <w:t xml:space="preserve">開示者は、受領者に対し、前項の破棄について、その実施を証する書面の提出を求めることができる。</w:t>
      </w:r>
    </w:p>
    <w:p>
      <w:pPr>
        <w:numPr>
          <w:ilvl w:val="0"/>
          <w:numId w:val="1009"/>
        </w:numPr>
      </w:pPr>
      <w:r>
        <w:rPr>
          <w:rFonts w:hint="eastAsia"/>
        </w:rPr>
        <w:t xml:space="preserve">前項にかかわらず、受領者は、法令、規制当局の要求又は社内規程に基づき必要な範囲で秘密情報を保持することができる。この場合においても、当該情報には本契約の規定が引き続き適用される。</w:t>
      </w:r>
    </w:p>
    <w:p>
      <w:r>
        <w:pict>
          <v:rect style="width:0;height:1.5pt" o:hralign="center" o:hrstd="t" o:hr="t"/>
        </w:pict>
      </w:r>
    </w:p>
    <w:bookmarkEnd w:id="20"/>
    <w:bookmarkStart w:id="21" w:name="第9条契約期間"/>
    <w:p>
      <w:pPr>
        <w:pStyle w:val="Heading2"/>
      </w:pPr>
      <w:r>
        <w:rPr>
          <w:rFonts w:hint="eastAsia"/>
        </w:rPr>
        <w:t xml:space="preserve">第9条(契約期間)</w:t>
      </w:r>
    </w:p>
    <w:p>
      <w:pPr>
        <w:pStyle w:val="FirstParagraph"/>
      </w:pPr>
      <w:r>
        <w:rPr>
          <w:rFonts w:hint="eastAsia"/>
          <w:b/>
          <w:bCs/>
        </w:rPr>
        <w:t xml:space="preserve">【解説】</w:t>
      </w:r>
      <w:r>
        <w:t xml:space="preserve"> </w:t>
      </w:r>
      <w:r>
        <w:rPr>
          <w:rFonts w:hint="eastAsia"/>
        </w:rPr>
        <w:t xml:space="preserve">契約期間とは別に、秘密保持義務の存続期間を定めるのが重要です。秘密保持期間は一般的に3〜5年。情報の性質によっては、より長期(10年)や永続(営業秘密に該当する場合)とすることもあります。</w:t>
      </w:r>
    </w:p>
    <w:p>
      <w:pPr>
        <w:numPr>
          <w:ilvl w:val="0"/>
          <w:numId w:val="1010"/>
        </w:numPr>
      </w:pPr>
      <w:r>
        <w:rPr>
          <w:rFonts w:hint="eastAsia"/>
        </w:rPr>
        <w:t xml:space="preserve">本契約の有効期間は、本契約締結日から[1]年間とする。ただし、期間満了日の[3]ヶ月前までに、甲又は乙のいずれからも書面又は電磁的方法による別段の意思表示がない場合、本契約は同一条件でさらに[1]年間延長されるものとし、以後も同様とする。</w:t>
      </w:r>
    </w:p>
    <w:p>
      <w:pPr>
        <w:numPr>
          <w:ilvl w:val="0"/>
          <w:numId w:val="1010"/>
        </w:numPr>
      </w:pPr>
      <w:r>
        <w:rPr>
          <w:rFonts w:hint="eastAsia"/>
        </w:rPr>
        <w:t xml:space="preserve">本契約が終了した場合においても、第2条、第3条、第4条、第5条、第6条、第7条、第8条、本条第2項、第10条、第11条、第13条、第14条、第15条、第16条、第17条及び第18条の規定は、本契約終了後[5]年間有効に存続するものとする。</w:t>
      </w:r>
    </w:p>
    <w:p>
      <w:r>
        <w:pict>
          <v:rect style="width:0;height:1.5pt" o:hralign="center" o:hrstd="t" o:hr="t"/>
        </w:pict>
      </w:r>
    </w:p>
    <w:bookmarkEnd w:id="21"/>
    <w:bookmarkStart w:id="22" w:name="第10条損害賠償"/>
    <w:p>
      <w:pPr>
        <w:pStyle w:val="Heading2"/>
      </w:pPr>
      <w:r>
        <w:rPr>
          <w:rFonts w:hint="eastAsia"/>
        </w:rPr>
        <w:t xml:space="preserve">第10条(損害賠償)</w:t>
      </w:r>
    </w:p>
    <w:p>
      <w:pPr>
        <w:pStyle w:val="FirstParagraph"/>
      </w:pPr>
      <w:r>
        <w:rPr>
          <w:rFonts w:hint="eastAsia"/>
          <w:b/>
          <w:bCs/>
        </w:rPr>
        <w:t xml:space="preserve">【解説】</w:t>
      </w:r>
      <w:r>
        <w:t xml:space="preserve"> </w:t>
      </w:r>
      <w:r>
        <w:rPr>
          <w:rFonts w:hint="eastAsia"/>
        </w:rPr>
        <w:t xml:space="preserve">違反時の経済的責任を明確化する条項です。損害額の立証が困難な場合に備え、違約金条項を併用することもあります(過度に高額な違約金は無効となる場合があるため要注意)。</w:t>
      </w:r>
    </w:p>
    <w:p>
      <w:pPr>
        <w:numPr>
          <w:ilvl w:val="0"/>
          <w:numId w:val="1011"/>
        </w:numPr>
      </w:pPr>
      <w:r>
        <w:rPr>
          <w:rFonts w:hint="eastAsia"/>
        </w:rPr>
        <w:t xml:space="preserve">受領者が本契約に違反した場合、受領者は、開示者に対し、開示者が被った直接かつ通常の損害を賠償するものとする。</w:t>
      </w:r>
    </w:p>
    <w:p>
      <w:pPr>
        <w:numPr>
          <w:ilvl w:val="0"/>
          <w:numId w:val="1011"/>
        </w:numPr>
      </w:pPr>
      <w:r>
        <w:rPr>
          <w:rFonts w:hint="eastAsia"/>
        </w:rPr>
        <w:t xml:space="preserve">前項の損害賠償は、開示者が受領者に対して差止め、原状回復その他の救済を請求することを妨げない。</w:t>
      </w:r>
    </w:p>
    <w:p>
      <w:r>
        <w:pict>
          <v:rect style="width:0;height:1.5pt" o:hralign="center" o:hrstd="t" o:hr="t"/>
        </w:pict>
      </w:r>
    </w:p>
    <w:bookmarkEnd w:id="22"/>
    <w:bookmarkStart w:id="23" w:name="第11条差止請求"/>
    <w:p>
      <w:pPr>
        <w:pStyle w:val="Heading2"/>
      </w:pPr>
      <w:r>
        <w:rPr>
          <w:rFonts w:hint="eastAsia"/>
        </w:rPr>
        <w:t xml:space="preserve">第11条(差止請求)</w:t>
      </w:r>
    </w:p>
    <w:p>
      <w:pPr>
        <w:pStyle w:val="FirstParagraph"/>
      </w:pPr>
      <w:r>
        <w:rPr>
          <w:rFonts w:hint="eastAsia"/>
          <w:b/>
          <w:bCs/>
        </w:rPr>
        <w:t xml:space="preserve">【解説】</w:t>
      </w:r>
      <w:r>
        <w:t xml:space="preserve"> </w:t>
      </w:r>
      <w:r>
        <w:rPr>
          <w:rFonts w:hint="eastAsia"/>
        </w:rPr>
        <w:t xml:space="preserve">損害賠償だけでは秘密情報の漏えい拡大を防げないため、差止請求権を明示します。実際には民法・不正競争防止法上も差止請求は可能ですが、契約上明示することで実効性が高まります。</w:t>
      </w:r>
    </w:p>
    <w:p>
      <w:pPr>
        <w:pStyle w:val="BodyText"/>
      </w:pPr>
      <w:r>
        <w:rPr>
          <w:rFonts w:hint="eastAsia"/>
        </w:rPr>
        <w:t xml:space="preserve">開示者は、受領者による本契約違反又はそのおそれがある場合、損害賠償の請求に加えて、又はこれに代えて、当該違反行為の差止めその他必要な措置を請求することができる。</w:t>
      </w:r>
    </w:p>
    <w:p>
      <w:r>
        <w:pict>
          <v:rect style="width:0;height:1.5pt" o:hralign="center" o:hrstd="t" o:hr="t"/>
        </w:pict>
      </w:r>
    </w:p>
    <w:bookmarkEnd w:id="23"/>
    <w:bookmarkStart w:id="24" w:name="第12条知的財産権"/>
    <w:p>
      <w:pPr>
        <w:pStyle w:val="Heading2"/>
      </w:pPr>
      <w:r>
        <w:rPr>
          <w:rFonts w:hint="eastAsia"/>
        </w:rPr>
        <w:t xml:space="preserve">第12条(知的財産権)</w:t>
      </w:r>
    </w:p>
    <w:p>
      <w:pPr>
        <w:pStyle w:val="FirstParagraph"/>
      </w:pPr>
      <w:r>
        <w:rPr>
          <w:rFonts w:hint="eastAsia"/>
          <w:b/>
          <w:bCs/>
        </w:rPr>
        <w:t xml:space="preserve">【解説】</w:t>
      </w:r>
      <w:r>
        <w:t xml:space="preserve"> </w:t>
      </w:r>
      <w:r>
        <w:rPr>
          <w:rFonts w:hint="eastAsia"/>
        </w:rPr>
        <w:t xml:space="preserve">秘密情報の開示によって、相手方に何らかの知的財産権が移転するわけではないことを明確化します。共同で新たな知的財産が発生する可能性がある場合は、別途共同開発契約等で詳細を定めます。</w:t>
      </w:r>
    </w:p>
    <w:p>
      <w:pPr>
        <w:pStyle w:val="BodyText"/>
      </w:pPr>
      <w:r>
        <w:rPr>
          <w:rFonts w:hint="eastAsia"/>
        </w:rPr>
        <w:t xml:space="preserve">本契約に基づく秘密情報の開示は、開示者から受領者に対する、当該秘密情報に関する特許権、実用新案権、意匠権、商標権、著作権、ノウハウその他一切の知的財産権の譲渡、使用許諾その他の権利の移転を意味するものではない。</w:t>
      </w:r>
    </w:p>
    <w:p>
      <w:r>
        <w:pict>
          <v:rect style="width:0;height:1.5pt" o:hralign="center" o:hrstd="t" o:hr="t"/>
        </w:pict>
      </w:r>
    </w:p>
    <w:bookmarkEnd w:id="24"/>
    <w:bookmarkStart w:id="25" w:name="第13条反社会的勢力の排除"/>
    <w:p>
      <w:pPr>
        <w:pStyle w:val="Heading2"/>
      </w:pPr>
      <w:r>
        <w:rPr>
          <w:rFonts w:hint="eastAsia"/>
        </w:rPr>
        <w:t xml:space="preserve">第13条(反社会的勢力の排除)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全国の暴排条例に対応する条項です。現代の契約書では必須項目とされています。違反時には催告なしの解除権が認められる強い条項です。</w:t>
      </w:r>
    </w:p>
    <w:p>
      <w:pPr>
        <w:pStyle w:val="Compact"/>
        <w:numPr>
          <w:ilvl w:val="0"/>
          <w:numId w:val="1012"/>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及び次の各号のいずれにも該当しないことを表明し、保証する。</w:t>
      </w:r>
    </w:p>
    <w:p>
      <w:pPr>
        <w:pStyle w:val="Compact"/>
        <w:numPr>
          <w:ilvl w:val="0"/>
          <w:numId w:val="1013"/>
        </w:numPr>
      </w:pPr>
      <w:r>
        <w:rPr>
          <w:rFonts w:hint="eastAsia"/>
        </w:rPr>
        <w:t xml:space="preserve">反社会的勢力が経営を支配していると認められる関係を有すること</w:t>
      </w:r>
    </w:p>
    <w:p>
      <w:pPr>
        <w:pStyle w:val="Compact"/>
        <w:numPr>
          <w:ilvl w:val="0"/>
          <w:numId w:val="1013"/>
        </w:numPr>
      </w:pPr>
      <w:r>
        <w:rPr>
          <w:rFonts w:hint="eastAsia"/>
        </w:rPr>
        <w:t xml:space="preserve">反社会的勢力が経営に実質的に関与していると認められる関係を有すること</w:t>
      </w:r>
    </w:p>
    <w:p>
      <w:pPr>
        <w:pStyle w:val="Compact"/>
        <w:numPr>
          <w:ilvl w:val="0"/>
          <w:numId w:val="1013"/>
        </w:numPr>
      </w:pPr>
      <w:r>
        <w:rPr>
          <w:rFonts w:hint="eastAsia"/>
        </w:rPr>
        <w:t xml:space="preserve">自己、自社若しくは第三者の不正の利益を図る目的又は第三者に損害を加える目的をもってするなど、不当に反社会的勢力を利用していると認められる関係を有すること</w:t>
      </w:r>
    </w:p>
    <w:p>
      <w:pPr>
        <w:pStyle w:val="Compact"/>
        <w:numPr>
          <w:ilvl w:val="0"/>
          <w:numId w:val="1013"/>
        </w:numPr>
      </w:pPr>
      <w:r>
        <w:rPr>
          <w:rFonts w:hint="eastAsia"/>
        </w:rPr>
        <w:t xml:space="preserve">反社会的勢力に対して資金等を提供し、又は便宜を供与するなどの関与をしていると認められる関係を有すること</w:t>
      </w:r>
    </w:p>
    <w:p>
      <w:pPr>
        <w:pStyle w:val="Compact"/>
        <w:numPr>
          <w:ilvl w:val="0"/>
          <w:numId w:val="1013"/>
        </w:numPr>
      </w:pPr>
      <w:r>
        <w:rPr>
          <w:rFonts w:hint="eastAsia"/>
        </w:rPr>
        <w:t xml:space="preserve">その他、反社会的勢力との社会的に非難されるべき関係を有すること</w:t>
      </w:r>
    </w:p>
    <w:p>
      <w:pPr>
        <w:pStyle w:val="Compact"/>
        <w:numPr>
          <w:ilvl w:val="0"/>
          <w:numId w:val="1014"/>
        </w:numPr>
      </w:pPr>
      <w:r>
        <w:rPr>
          <w:rFonts w:hint="eastAsia"/>
        </w:rPr>
        <w:t xml:space="preserve">甲及び乙は、自ら又は第三者を利用して、次の各号に該当する行為を行わないことを表明し、保証する。</w:t>
      </w:r>
    </w:p>
    <w:p>
      <w:pPr>
        <w:pStyle w:val="Compact"/>
        <w:numPr>
          <w:ilvl w:val="0"/>
          <w:numId w:val="1015"/>
        </w:numPr>
      </w:pPr>
      <w:r>
        <w:rPr>
          <w:rFonts w:hint="eastAsia"/>
        </w:rPr>
        <w:t xml:space="preserve">暴力的な要求行為</w:t>
      </w:r>
    </w:p>
    <w:p>
      <w:pPr>
        <w:pStyle w:val="Compact"/>
        <w:numPr>
          <w:ilvl w:val="0"/>
          <w:numId w:val="1015"/>
        </w:numPr>
      </w:pPr>
      <w:r>
        <w:rPr>
          <w:rFonts w:hint="eastAsia"/>
        </w:rPr>
        <w:t xml:space="preserve">法的な責任を超えた不当な要求行為</w:t>
      </w:r>
    </w:p>
    <w:p>
      <w:pPr>
        <w:pStyle w:val="Compact"/>
        <w:numPr>
          <w:ilvl w:val="0"/>
          <w:numId w:val="1015"/>
        </w:numPr>
      </w:pPr>
      <w:r>
        <w:rPr>
          <w:rFonts w:hint="eastAsia"/>
        </w:rPr>
        <w:t xml:space="preserve">取引に関して、脅迫的な言動をし、又は暴力を用いる行為</w:t>
      </w:r>
    </w:p>
    <w:p>
      <w:pPr>
        <w:pStyle w:val="Compact"/>
        <w:numPr>
          <w:ilvl w:val="0"/>
          <w:numId w:val="1015"/>
        </w:numPr>
      </w:pPr>
      <w:r>
        <w:rPr>
          <w:rFonts w:hint="eastAsia"/>
        </w:rPr>
        <w:t xml:space="preserve">風説を流布し、偽計を用い又は威力を用いて相手方の信用を毀損し、又は相手方の業務を妨害する行為</w:t>
      </w:r>
    </w:p>
    <w:p>
      <w:pPr>
        <w:pStyle w:val="Compact"/>
        <w:numPr>
          <w:ilvl w:val="0"/>
          <w:numId w:val="1015"/>
        </w:numPr>
      </w:pPr>
      <w:r>
        <w:rPr>
          <w:rFonts w:hint="eastAsia"/>
        </w:rPr>
        <w:t xml:space="preserve">その他前各号に準ずる行為</w:t>
      </w:r>
    </w:p>
    <w:p>
      <w:pPr>
        <w:pStyle w:val="Compact"/>
        <w:numPr>
          <w:ilvl w:val="0"/>
          <w:numId w:val="1016"/>
        </w:numPr>
      </w:pPr>
      <w:r>
        <w:rPr>
          <w:rFonts w:hint="eastAsia"/>
        </w:rPr>
        <w:t xml:space="preserve">甲又は乙が前2項の表明保証に違反した場合、相手方は、何らの催告を要せずに、本契約を直ちに解除することができる。この場合、解除した側は、相手方に対し、これにより生じた損害の賠償を請求することができる。</w:t>
      </w:r>
    </w:p>
    <w:p>
      <w:r>
        <w:pict>
          <v:rect style="width:0;height:1.5pt" o:hralign="center" o:hrstd="t" o:hr="t"/>
        </w:pict>
      </w:r>
    </w:p>
    <w:bookmarkEnd w:id="25"/>
    <w:bookmarkStart w:id="26" w:name="第14条解除"/>
    <w:p>
      <w:pPr>
        <w:pStyle w:val="Heading2"/>
      </w:pPr>
      <w:r>
        <w:rPr>
          <w:rFonts w:hint="eastAsia"/>
        </w:rPr>
        <w:t xml:space="preserve">第14条(解除)</w:t>
      </w:r>
    </w:p>
    <w:p>
      <w:pPr>
        <w:pStyle w:val="FirstParagraph"/>
      </w:pPr>
      <w:r>
        <w:rPr>
          <w:rFonts w:hint="eastAsia"/>
          <w:b/>
          <w:bCs/>
        </w:rPr>
        <w:t xml:space="preserve">【解説】</w:t>
      </w:r>
      <w:r>
        <w:t xml:space="preserve"> </w:t>
      </w:r>
      <w:r>
        <w:rPr>
          <w:rFonts w:hint="eastAsia"/>
        </w:rPr>
        <w:t xml:space="preserve">契約解除の事由を明確化します。本契約違反だけでなく、相手方の信用悪化等の場合にも解除できる規定としています。</w:t>
      </w:r>
    </w:p>
    <w:p>
      <w:pPr>
        <w:pStyle w:val="Compact"/>
        <w:numPr>
          <w:ilvl w:val="0"/>
          <w:numId w:val="1017"/>
        </w:numPr>
      </w:pPr>
      <w:r>
        <w:rPr>
          <w:rFonts w:hint="eastAsia"/>
        </w:rPr>
        <w:t xml:space="preserve">甲及び乙は、相手方が次の各号のいずれかに該当した場合、何らの催告なくして本契約を解除することができる。</w:t>
      </w:r>
    </w:p>
    <w:p>
      <w:pPr>
        <w:pStyle w:val="Compact"/>
        <w:numPr>
          <w:ilvl w:val="0"/>
          <w:numId w:val="1018"/>
        </w:numPr>
      </w:pPr>
      <w:r>
        <w:rPr>
          <w:rFonts w:hint="eastAsia"/>
        </w:rPr>
        <w:t xml:space="preserve">本契約のいずれかの条項に違反し、相当期間を定めた催告にもかかわらず是正されないとき</w:t>
      </w:r>
    </w:p>
    <w:p>
      <w:pPr>
        <w:pStyle w:val="Compact"/>
        <w:numPr>
          <w:ilvl w:val="0"/>
          <w:numId w:val="1018"/>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18"/>
        </w:numPr>
      </w:pPr>
      <w:r>
        <w:rPr>
          <w:rFonts w:hint="eastAsia"/>
        </w:rPr>
        <w:t xml:space="preserve">手形又は小切手の不渡りを出したとき</w:t>
      </w:r>
    </w:p>
    <w:p>
      <w:pPr>
        <w:pStyle w:val="Compact"/>
        <w:numPr>
          <w:ilvl w:val="0"/>
          <w:numId w:val="1018"/>
        </w:numPr>
      </w:pPr>
      <w:r>
        <w:rPr>
          <w:rFonts w:hint="eastAsia"/>
        </w:rPr>
        <w:t xml:space="preserve">差押え、仮差押え、仮処分、強制執行又は競売の申立てを受けたとき</w:t>
      </w:r>
    </w:p>
    <w:p>
      <w:pPr>
        <w:pStyle w:val="Compact"/>
        <w:numPr>
          <w:ilvl w:val="0"/>
          <w:numId w:val="1018"/>
        </w:numPr>
      </w:pPr>
      <w:r>
        <w:rPr>
          <w:rFonts w:hint="eastAsia"/>
        </w:rPr>
        <w:t xml:space="preserve">公租公課の滞納処分を受けたとき</w:t>
      </w:r>
    </w:p>
    <w:p>
      <w:pPr>
        <w:pStyle w:val="Compact"/>
        <w:numPr>
          <w:ilvl w:val="0"/>
          <w:numId w:val="1018"/>
        </w:numPr>
      </w:pPr>
      <w:r>
        <w:rPr>
          <w:rFonts w:hint="eastAsia"/>
        </w:rPr>
        <w:t xml:space="preserve">解散、合併又は事業の全部若しくは重要な一部の譲渡の決議をしたとき</w:t>
      </w:r>
    </w:p>
    <w:p>
      <w:pPr>
        <w:pStyle w:val="Compact"/>
        <w:numPr>
          <w:ilvl w:val="0"/>
          <w:numId w:val="1018"/>
        </w:numPr>
      </w:pPr>
      <w:r>
        <w:rPr>
          <w:rFonts w:hint="eastAsia"/>
        </w:rPr>
        <w:t xml:space="preserve">その他財産状態が悪化し、又はそのおそれがあると認められる相当の事由があるとき</w:t>
      </w:r>
    </w:p>
    <w:p>
      <w:pPr>
        <w:pStyle w:val="Compact"/>
        <w:numPr>
          <w:ilvl w:val="0"/>
          <w:numId w:val="1019"/>
        </w:numPr>
      </w:pPr>
      <w:r>
        <w:rPr>
          <w:rFonts w:hint="eastAsia"/>
        </w:rPr>
        <w:t xml:space="preserve">前項の解除は、解除した側の損害賠償請求を妨げない。</w:t>
      </w:r>
    </w:p>
    <w:p>
      <w:r>
        <w:pict>
          <v:rect style="width:0;height:1.5pt" o:hralign="center" o:hrstd="t" o:hr="t"/>
        </w:pict>
      </w:r>
    </w:p>
    <w:bookmarkEnd w:id="26"/>
    <w:bookmarkStart w:id="27" w:name="第15条譲渡禁止"/>
    <w:p>
      <w:pPr>
        <w:pStyle w:val="Heading2"/>
      </w:pPr>
      <w:r>
        <w:rPr>
          <w:rFonts w:hint="eastAsia"/>
        </w:rPr>
        <w:t xml:space="preserve">第15条(譲渡禁止)</w:t>
      </w:r>
    </w:p>
    <w:p>
      <w:pPr>
        <w:pStyle w:val="FirstParagraph"/>
      </w:pPr>
      <w:r>
        <w:rPr>
          <w:rFonts w:hint="eastAsia"/>
          <w:b/>
          <w:bCs/>
        </w:rPr>
        <w:t xml:space="preserve">【解説】</w:t>
      </w:r>
      <w:r>
        <w:t xml:space="preserve"> </w:t>
      </w:r>
      <w:r>
        <w:rPr>
          <w:rFonts w:hint="eastAsia"/>
        </w:rPr>
        <w:t xml:space="preserve">契約上の地位や権利義務を勝手に第三者へ移転することを禁止します。M&amp;Aや事業譲渡の際にも問題となるため、事前承諾を要件とします。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27"/>
    <w:bookmarkStart w:id="28" w:name="第16条不可抗力"/>
    <w:p>
      <w:pPr>
        <w:pStyle w:val="Heading2"/>
      </w:pPr>
      <w:r>
        <w:rPr>
          <w:rFonts w:hint="eastAsia"/>
        </w:rPr>
        <w:t xml:space="preserve">第16条(不可抗力)</w:t>
      </w:r>
    </w:p>
    <w:p>
      <w:pPr>
        <w:pStyle w:val="FirstParagraph"/>
      </w:pPr>
      <w:r>
        <w:rPr>
          <w:rFonts w:hint="eastAsia"/>
          <w:b/>
          <w:bCs/>
        </w:rPr>
        <w:t xml:space="preserve">【解説】</w:t>
      </w:r>
      <w:r>
        <w:t xml:space="preserve"> </w:t>
      </w:r>
      <w:r>
        <w:rPr>
          <w:rFonts w:hint="eastAsia"/>
        </w:rPr>
        <w:t xml:space="preserve">天災・戦争・パンデミック等の不可抗力による契約不履行を免責する条項です。コロナ禍以降、この条項の重要性が再認識されています。</w:t>
      </w:r>
    </w:p>
    <w:p>
      <w:pPr>
        <w:numPr>
          <w:ilvl w:val="0"/>
          <w:numId w:val="1020"/>
        </w:numPr>
      </w:pPr>
      <w:r>
        <w:rPr>
          <w:rFonts w:hint="eastAsia"/>
        </w:rPr>
        <w:t xml:space="preserve">甲又は乙は、地震、台風、洪水、津波、火災、戦争、暴動、内乱、テロ、感染症の流行、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20"/>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28"/>
    <w:bookmarkStart w:id="29" w:name="第17条準拠法及び合意管轄"/>
    <w:p>
      <w:pPr>
        <w:pStyle w:val="Heading2"/>
      </w:pPr>
      <w:r>
        <w:rPr>
          <w:rFonts w:hint="eastAsia"/>
        </w:rPr>
        <w:t xml:space="preserve">第17条(準拠法及び合意管轄)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国際取引でなければ、日本法準拠が基本です。管轄裁判所は自社の本店所在地を指定するのが一般的です。被告地主義(被告となる側の所在地裁判所)を採用する選択肢もあります。</w:t>
      </w:r>
    </w:p>
    <w:p>
      <w:pPr>
        <w:numPr>
          <w:ilvl w:val="0"/>
          <w:numId w:val="1021"/>
        </w:numPr>
      </w:pPr>
      <w:r>
        <w:rPr>
          <w:rFonts w:hint="eastAsia"/>
        </w:rPr>
        <w:t xml:space="preserve">本契約は、日本法に準拠し、日本法に従って解釈されるものとする。</w:t>
      </w:r>
    </w:p>
    <w:p>
      <w:pPr>
        <w:numPr>
          <w:ilvl w:val="0"/>
          <w:numId w:val="1021"/>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29"/>
    <w:bookmarkStart w:id="30" w:name="第18条協議事項"/>
    <w:p>
      <w:pPr>
        <w:pStyle w:val="Heading2"/>
      </w:pPr>
      <w:r>
        <w:rPr>
          <w:rFonts w:hint="eastAsia"/>
        </w:rPr>
        <w:t xml:space="preserve">第18条(協議事項)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0"/>
    <w:bookmarkStart w:id="31"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1"/>
    <w:bookmarkStart w:id="32" w:name="印紙税について"/>
    <w:p>
      <w:pPr>
        <w:pStyle w:val="Heading2"/>
      </w:pPr>
      <w:r>
        <w:rPr>
          <w:rFonts w:hint="eastAsia"/>
        </w:rPr>
        <w:t xml:space="preserve">印紙税について</w:t>
      </w:r>
    </w:p>
    <w:p>
      <w:pPr>
        <w:pStyle w:val="FirstParagraph"/>
      </w:pPr>
      <w:r>
        <w:rPr>
          <w:rFonts w:hint="eastAsia"/>
          <w:b/>
          <w:bCs/>
        </w:rPr>
        <w:t xml:space="preserve">本契約書は、印紙税法上の課税文書に該当しないため、印紙税は非課税です。</w:t>
      </w:r>
    </w:p>
    <w:p>
      <w:pPr>
        <w:pStyle w:val="Compact"/>
        <w:numPr>
          <w:ilvl w:val="0"/>
          <w:numId w:val="1022"/>
        </w:numPr>
      </w:pPr>
      <w:r>
        <w:rPr>
          <w:rFonts w:hint="eastAsia"/>
        </w:rPr>
        <w:t xml:space="preserve">秘密保持契約書(NDA)は、印紙税法別表第一に掲げる課税文書のいずれにも該当しないため、紙で締結する場合も収入印紙の貼付は不要です。</w:t>
      </w:r>
    </w:p>
    <w:p>
      <w:pPr>
        <w:pStyle w:val="Compact"/>
        <w:numPr>
          <w:ilvl w:val="0"/>
          <w:numId w:val="1022"/>
        </w:numPr>
      </w:pPr>
      <w:r>
        <w:rPr>
          <w:rFonts w:hint="eastAsia"/>
        </w:rPr>
        <w:t xml:space="preserve">電子契約サービスを利用して締結する場合も、同様に印紙税は発生しません。</w:t>
      </w:r>
    </w:p>
    <w:p>
      <w:pPr>
        <w:pStyle w:val="FirstParagraph"/>
      </w:pPr>
      <w:r>
        <w:rPr>
          <w:rFonts w:hint="eastAsia"/>
        </w:rPr>
        <w:t xml:space="preserve">ただし、本契約に業務委託・売買等の課税文書としての性質を併せ持つ条項を追加する場合は、別途印紙税の判定が必要となることがあります。重要案件では税理士へのご確認をおすすめします。</w:t>
      </w:r>
    </w:p>
    <w:p>
      <w:r>
        <w:pict>
          <v:rect style="width:0;height:1.5pt" o:hralign="center" o:hrstd="t" o:hr="t"/>
        </w:pict>
      </w:r>
    </w:p>
    <w:bookmarkEnd w:id="32"/>
    <w:bookmarkStart w:id="33"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本契約は、電子署名法に基づく電子契約サービスでの締結が可能です。電子契約によって締結する場合、以下のメリットがあります。</w:t>
      </w:r>
    </w:p>
    <w:p>
      <w:pPr>
        <w:pStyle w:val="Compact"/>
        <w:numPr>
          <w:ilvl w:val="0"/>
          <w:numId w:val="1023"/>
        </w:numPr>
      </w:pPr>
      <w:r>
        <w:rPr>
          <w:rFonts w:hint="eastAsia"/>
          <w:b/>
          <w:bCs/>
        </w:rPr>
        <w:t xml:space="preserve">印刷・郵送・押印の手間が不要</w:t>
      </w:r>
      <w:r>
        <w:rPr>
          <w:rFonts w:hint="eastAsia"/>
        </w:rPr>
        <w:t xml:space="preserve">(本契約は元々非課税のため印紙税のメリットはないが、事務コスト削減効果は大きい)</w:t>
      </w:r>
    </w:p>
    <w:p>
      <w:pPr>
        <w:pStyle w:val="Compact"/>
        <w:numPr>
          <w:ilvl w:val="0"/>
          <w:numId w:val="1023"/>
        </w:numPr>
      </w:pPr>
      <w:r>
        <w:rPr>
          <w:rFonts w:hint="eastAsia"/>
          <w:b/>
          <w:bCs/>
        </w:rPr>
        <w:t xml:space="preserve">締結スピードが最短数時間</w:t>
      </w:r>
      <w:r>
        <w:rPr>
          <w:rFonts w:hint="eastAsia"/>
        </w:rPr>
        <w:t xml:space="preserve">に短縮</w:t>
      </w:r>
    </w:p>
    <w:p>
      <w:pPr>
        <w:pStyle w:val="Compact"/>
        <w:numPr>
          <w:ilvl w:val="0"/>
          <w:numId w:val="1023"/>
        </w:numPr>
      </w:pPr>
      <w:r>
        <w:rPr>
          <w:rFonts w:hint="eastAsia"/>
          <w:b/>
          <w:bCs/>
        </w:rPr>
        <w:t xml:space="preserve">改ざん検知</w:t>
      </w:r>
      <w:r>
        <w:rPr>
          <w:rFonts w:hint="eastAsia"/>
        </w:rPr>
        <w:t xml:space="preserve">(タイムスタンプ・電子署名による)</w:t>
      </w:r>
    </w:p>
    <w:p>
      <w:pPr>
        <w:pStyle w:val="Compact"/>
        <w:numPr>
          <w:ilvl w:val="0"/>
          <w:numId w:val="1023"/>
        </w:numPr>
      </w:pPr>
      <w:r>
        <w:rPr>
          <w:rFonts w:hint="eastAsia"/>
          <w:b/>
          <w:bCs/>
        </w:rPr>
        <w:t xml:space="preserve">電子帳簿保存法の保存要件</w:t>
      </w:r>
      <w:r>
        <w:rPr>
          <w:rFonts w:hint="eastAsia"/>
        </w:rPr>
        <w:t xml:space="preserve">に自動対応(タイムスタンプ・検索性・改ざん防止)</w:t>
      </w:r>
    </w:p>
    <w:p>
      <w:pPr>
        <w:pStyle w:val="Compact"/>
        <w:numPr>
          <w:ilvl w:val="0"/>
          <w:numId w:val="1023"/>
        </w:numPr>
      </w:pPr>
      <w:r>
        <w:rPr>
          <w:rFonts w:hint="eastAsia"/>
          <w:b/>
          <w:bCs/>
        </w:rPr>
        <w:t xml:space="preserve">クラウドで一元管理</w:t>
      </w:r>
      <w:r>
        <w:rPr>
          <w:rFonts w:hint="eastAsia"/>
        </w:rPr>
        <w:t xml:space="preserve">(契約期限切れアラート等の活用も可能)</w:t>
      </w:r>
    </w:p>
    <w:p>
      <w:r>
        <w:pict>
          <v:rect style="width:0;height:1.5pt" o:hralign="center" o:hrstd="t" o:hr="t"/>
        </w:pict>
      </w:r>
    </w:p>
    <w:bookmarkEnd w:id="33"/>
    <w:bookmarkStart w:id="34"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p>
      <w:pPr>
        <w:pStyle w:val="Compact"/>
        <w:numPr>
          <w:ilvl w:val="0"/>
          <w:numId w:val="1024"/>
        </w:numPr>
      </w:pPr>
      <w:r>
        <w:rPr>
          <w:rFonts w:hint="eastAsia"/>
        </w:rPr>
        <w:t xml:space="preserve">本テンプレートは、双方向型(両当事者が秘密情報を開示する)を想定しています。一方のみが開示する場合は、片務型のテンプレを別途ご利用ください。</w:t>
      </w:r>
    </w:p>
    <w:p>
      <w:pPr>
        <w:pStyle w:val="Compact"/>
        <w:numPr>
          <w:ilvl w:val="0"/>
          <w:numId w:val="1024"/>
        </w:numPr>
      </w:pPr>
      <w:r>
        <w:t xml:space="preserve">[ </w:t>
      </w:r>
      <w:r>
        <w:rPr>
          <w:rFonts w:hint="eastAsia"/>
        </w:rPr>
        <w:t xml:space="preserve">]括弧内の箇所は、自社の状況に応じて編集してください。</w:t>
      </w:r>
    </w:p>
    <w:p>
      <w:pPr>
        <w:pStyle w:val="Compact"/>
        <w:numPr>
          <w:ilvl w:val="0"/>
          <w:numId w:val="1024"/>
        </w:numPr>
      </w:pPr>
      <w:r>
        <w:rPr>
          <w:rFonts w:hint="eastAsia"/>
        </w:rPr>
        <w:t xml:space="preserve">業界特有のニーズ(医療・金融・公共調達等)がある場合は、追加条項の検討が必要です。</w:t>
      </w:r>
    </w:p>
    <w:p>
      <w:pPr>
        <w:pStyle w:val="Compact"/>
        <w:numPr>
          <w:ilvl w:val="0"/>
          <w:numId w:val="1024"/>
        </w:numPr>
      </w:pPr>
      <w:r>
        <w:rPr>
          <w:rFonts w:hint="eastAsia"/>
        </w:rPr>
        <w:t xml:space="preserve">海外取引・英文契約の場合は、準拠法・裁判管轄等の規定について必ず弁護士のレビューを受けてください。</w:t>
      </w:r>
    </w:p>
    <w:p>
      <w:pPr>
        <w:pStyle w:val="Compact"/>
        <w:numPr>
          <w:ilvl w:val="0"/>
          <w:numId w:val="1024"/>
        </w:numPr>
      </w:pPr>
      <w:r>
        <w:rPr>
          <w:rFonts w:hint="eastAsia"/>
        </w:rPr>
        <w:t xml:space="preserve">個人情報を取り扱わない契約では、第6条を削除しても問題ありません。</w:t>
      </w:r>
    </w:p>
    <w:p>
      <w:pPr>
        <w:pStyle w:val="Compact"/>
        <w:numPr>
          <w:ilvl w:val="0"/>
          <w:numId w:val="1024"/>
        </w:numPr>
      </w:pPr>
      <w:r>
        <w:rPr>
          <w:rFonts w:hint="eastAsia"/>
        </w:rPr>
        <w:t xml:space="preserve">フリーランス(個人事業主)との契約では、フリーランス新法(2024年11月施行)の契約条件明示義務にも配慮してください。</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6412;&#30446;&#30340;&#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11" Target="&#20197;&#19979;&#12300;&#26412;&#30446;&#30340;&#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2026-06-04T12:18:30Z</dcterms:created>
  <dcterms:modified xsi:type="dcterms:W3CDTF">2026-06-04T12:18:30Z</dcterms:modified>
</cp:coreProperties>
</file>

<file path=docProps/custom.xml><?xml version="1.0" encoding="utf-8"?>
<Properties xmlns="http://schemas.openxmlformats.org/officeDocument/2006/custom-properties" xmlns:vt="http://schemas.openxmlformats.org/officeDocument/2006/docPropsVTypes"/>
</file>