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保守契約書"/>
    <w:p>
      <w:pPr>
        <w:pStyle w:val="Heading1"/>
      </w:pPr>
      <w:r>
        <w:rPr>
          <w:rFonts w:hint="eastAsia"/>
        </w:rPr>
        <w:t xml:space="preserve">保守契約書</w:t>
      </w:r>
    </w:p>
    <w:p>
      <w:pPr>
        <w:pStyle w:val="BlockText"/>
      </w:pPr>
      <w:r>
        <w:rPr>
          <w:rFonts w:hint="eastAsia"/>
          <w:b/>
          <w:bCs/>
        </w:rPr>
        <w:t xml:space="preserve">※本テンプレートは弁護士監修ですが、個別案件に応じた修正が必要です。重要な契約は弁護士にご相談ください。</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甲の正式名称(例:○○株式会社)</w:t>
        </w:r>
      </w:hyperlink>
      <w:r>
        <w:t xml:space="preserve">と</w:t>
      </w:r>
      <w:hyperlink r:id="rId10">
        <w:r>
          <w:rPr>
            <w:rStyle w:val="Hyperlink"/>
            <w:rFonts w:hint="eastAsia"/>
          </w:rPr>
          <w:t xml:space="preserve">乙の正式名称(例:○○保守サービス株式会社)</w:t>
        </w:r>
      </w:hyperlink>
      <w:r>
        <w:rPr>
          <w:rFonts w:hint="eastAsia"/>
        </w:rPr>
        <w:t xml:space="preserve">は、甲が所有又は使用する設備等(以下「本対象設備」という。)の保守業務に関し、以下のとおり保守契約(以下「本契約」という。)を締結する。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本契約の目的を明確化する条文です。継続的な保守業務の提供を目的とすることを宣言し、本契約が基本契約として機能することを位置づけます。</w:t>
      </w:r>
    </w:p>
    <w:p>
      <w:pPr>
        <w:pStyle w:val="BodyText"/>
      </w:pPr>
      <w:r>
        <w:rPr>
          <w:rFonts w:hint="eastAsia"/>
        </w:rPr>
        <w:t xml:space="preserve">本契約は、甲が乙に対し、本対象設備の保守業務を委託し、乙がこれを誠実に遂行することに関する基本的事項を定めることを目的とする。</w:t>
      </w:r>
    </w:p>
    <w:p>
      <w:r>
        <w:pict>
          <v:rect style="width:0;height:1.5pt" o:hralign="center" o:hrstd="t" o:hr="t"/>
        </w:pict>
      </w:r>
    </w:p>
    <w:bookmarkEnd w:id="12"/>
    <w:bookmarkStart w:id="13" w:name="第2条定義"/>
    <w:p>
      <w:pPr>
        <w:pStyle w:val="Heading2"/>
      </w:pPr>
      <w:r>
        <w:rPr>
          <w:rFonts w:hint="eastAsia"/>
        </w:rPr>
        <w:t xml:space="preserve">第2条(定義)</w:t>
      </w:r>
    </w:p>
    <w:p>
      <w:pPr>
        <w:pStyle w:val="FirstParagraph"/>
      </w:pPr>
      <w:r>
        <w:rPr>
          <w:rFonts w:hint="eastAsia"/>
          <w:b/>
          <w:bCs/>
        </w:rPr>
        <w:t xml:space="preserve">【解説】</w:t>
      </w:r>
      <w:r>
        <w:t xml:space="preserve"> </w:t>
      </w:r>
      <w:r>
        <w:rPr>
          <w:rFonts w:hint="eastAsia"/>
        </w:rPr>
        <w:t xml:space="preserve">本契約で頻出する用語を冒頭で定義することで、解釈ブレを防ぎます。保守契約特有の概念(SLA、対応時間等)も整理。</w:t>
      </w:r>
    </w:p>
    <w:p>
      <w:pPr>
        <w:pStyle w:val="BodyText"/>
      </w:pPr>
      <w:r>
        <w:rPr>
          <w:rFonts w:hint="eastAsia"/>
        </w:rPr>
        <w:t xml:space="preserve">本契約において使用する用語の定義は、次の各号に定めるとおりとする。</w:t>
      </w:r>
    </w:p>
    <w:p>
      <w:pPr>
        <w:pStyle w:val="Compact"/>
        <w:numPr>
          <w:ilvl w:val="0"/>
          <w:numId w:val="1001"/>
        </w:numPr>
      </w:pPr>
      <w:r>
        <w:rPr>
          <w:rFonts w:hint="eastAsia"/>
        </w:rPr>
        <w:t xml:space="preserve">「本対象設備」とは、別紙「保守対象設備一覧」に記載する設備をいう。</w:t>
      </w:r>
    </w:p>
    <w:p>
      <w:pPr>
        <w:pStyle w:val="Compact"/>
        <w:numPr>
          <w:ilvl w:val="0"/>
          <w:numId w:val="1001"/>
        </w:numPr>
      </w:pPr>
      <w:r>
        <w:rPr>
          <w:rFonts w:hint="eastAsia"/>
        </w:rPr>
        <w:t xml:space="preserve">「本業務」とは、第4条に定める保守業務をいう。</w:t>
      </w:r>
    </w:p>
    <w:p>
      <w:pPr>
        <w:pStyle w:val="Compact"/>
        <w:numPr>
          <w:ilvl w:val="0"/>
          <w:numId w:val="1001"/>
        </w:numPr>
      </w:pPr>
      <w:r>
        <w:rPr>
          <w:rFonts w:hint="eastAsia"/>
        </w:rPr>
        <w:t xml:space="preserve">「定期保守」とは、本契約に基づき定期的に実施する点検、調整、消耗品交換等の業務をいう。</w:t>
      </w:r>
    </w:p>
    <w:p>
      <w:pPr>
        <w:pStyle w:val="Compact"/>
        <w:numPr>
          <w:ilvl w:val="0"/>
          <w:numId w:val="1001"/>
        </w:numPr>
      </w:pPr>
      <w:r>
        <w:rPr>
          <w:rFonts w:hint="eastAsia"/>
        </w:rPr>
        <w:t xml:space="preserve">「故障対応」とは、本対象設備の故障・障害が発生した場合に乙が行う調査、修理、復旧等の業務をいう。</w:t>
      </w:r>
    </w:p>
    <w:p>
      <w:pPr>
        <w:pStyle w:val="Compact"/>
        <w:numPr>
          <w:ilvl w:val="0"/>
          <w:numId w:val="1001"/>
        </w:numPr>
      </w:pPr>
      <w:r>
        <w:rPr>
          <w:rFonts w:hint="eastAsia"/>
        </w:rPr>
        <w:t xml:space="preserve">「対応時間帯」とは、乙が本業務を提供する時間帯をいい、別紙又は本契約に定めるものとする。</w:t>
      </w:r>
    </w:p>
    <w:p>
      <w:pPr>
        <w:pStyle w:val="Compact"/>
        <w:numPr>
          <w:ilvl w:val="0"/>
          <w:numId w:val="1001"/>
        </w:numPr>
      </w:pPr>
      <w:r>
        <w:rPr>
          <w:rFonts w:hint="eastAsia"/>
        </w:rPr>
        <w:t xml:space="preserve">「応答時間」とは、甲からの障害連絡を受けてから乙が初期応答を行うまでの時間をいう。</w:t>
      </w:r>
    </w:p>
    <w:p>
      <w:pPr>
        <w:pStyle w:val="Compact"/>
        <w:numPr>
          <w:ilvl w:val="0"/>
          <w:numId w:val="1001"/>
        </w:numPr>
      </w:pPr>
      <w:r>
        <w:rPr>
          <w:rFonts w:hint="eastAsia"/>
        </w:rPr>
        <w:t xml:space="preserve">「対応開始時間」とは、甲からの障害連絡を受けてから乙が現地対応又はリモート対応を開始するまでの時間をいう。</w:t>
      </w:r>
    </w:p>
    <w:p>
      <w:r>
        <w:pict>
          <v:rect style="width:0;height:1.5pt" o:hralign="center" o:hrstd="t" o:hr="t"/>
        </w:pict>
      </w:r>
    </w:p>
    <w:bookmarkEnd w:id="13"/>
    <w:bookmarkStart w:id="14" w:name="第3条保守対象設備"/>
    <w:p>
      <w:pPr>
        <w:pStyle w:val="Heading2"/>
      </w:pPr>
      <w:r>
        <w:rPr>
          <w:rFonts w:hint="eastAsia"/>
        </w:rPr>
        <w:t xml:space="preserve">第3条(保守対象設備)</w:t>
      </w:r>
    </w:p>
    <w:p>
      <w:pPr>
        <w:pStyle w:val="FirstParagraph"/>
      </w:pPr>
      <w:r>
        <w:rPr>
          <w:rFonts w:hint="eastAsia"/>
          <w:b/>
          <w:bCs/>
        </w:rPr>
        <w:t xml:space="preserve">【解説】</w:t>
      </w:r>
      <w:r>
        <w:t xml:space="preserve"> </w:t>
      </w:r>
      <w:r>
        <w:rPr>
          <w:rFonts w:hint="eastAsia"/>
        </w:rPr>
        <w:t xml:space="preserve">保守契約の核となる条項です。対象設備の特定が曖昧だと、業務範囲をめぐる紛争の原因になります。設備の追加・撤去時の手続きも明示します。</w:t>
      </w:r>
    </w:p>
    <w:p>
      <w:pPr>
        <w:numPr>
          <w:ilvl w:val="0"/>
          <w:numId w:val="1002"/>
        </w:numPr>
      </w:pPr>
      <w:r>
        <w:rPr>
          <w:rFonts w:hint="eastAsia"/>
        </w:rPr>
        <w:t xml:space="preserve">本契約に基づき保守の対象となる設備は、別紙「保守対象設備一覧」に記載するものとする。別紙には、設備の品名、型番、製造番号(該当する場合)、設置場所、台数その他の特定事項を明記する。</w:t>
      </w:r>
    </w:p>
    <w:p>
      <w:pPr>
        <w:numPr>
          <w:ilvl w:val="0"/>
          <w:numId w:val="1002"/>
        </w:numPr>
      </w:pPr>
      <w:r>
        <w:rPr>
          <w:rFonts w:hint="eastAsia"/>
        </w:rPr>
        <w:t xml:space="preserve">本対象設備の追加、変更、撤去その他の変動があった場合、甲乙協議の上、別紙を変更するものとする。変動に伴い保守料金等の変更が必要となった場合、甲乙協議の上、これを改定する。</w:t>
      </w:r>
    </w:p>
    <w:p>
      <w:r>
        <w:pict>
          <v:rect style="width:0;height:1.5pt" o:hralign="center" o:hrstd="t" o:hr="t"/>
        </w:pict>
      </w:r>
    </w:p>
    <w:bookmarkEnd w:id="14"/>
    <w:bookmarkStart w:id="15" w:name="第4条保守業務の内容"/>
    <w:p>
      <w:pPr>
        <w:pStyle w:val="Heading2"/>
      </w:pPr>
      <w:r>
        <w:rPr>
          <w:rFonts w:hint="eastAsia"/>
        </w:rPr>
        <w:t xml:space="preserve">第4条(保守業務の内容)</w:t>
      </w:r>
    </w:p>
    <w:p>
      <w:pPr>
        <w:pStyle w:val="FirstParagraph"/>
      </w:pPr>
      <w:r>
        <w:rPr>
          <w:rFonts w:hint="eastAsia"/>
          <w:b/>
          <w:bCs/>
        </w:rPr>
        <w:t xml:space="preserve">【解説】</w:t>
      </w:r>
      <w:r>
        <w:t xml:space="preserve"> </w:t>
      </w:r>
      <w:r>
        <w:rPr>
          <w:rFonts w:hint="eastAsia"/>
        </w:rPr>
        <w:t xml:space="preserve">保守業務の範囲を具体的に定める条文です。「やること」を列挙することで、後で「これは含まれない」と争われるリスクを下げます。本対象設備の類型(機械・システム・建物)に応じて適宜編集してください。</w:t>
      </w:r>
    </w:p>
    <w:p>
      <w:pPr>
        <w:pStyle w:val="Compact"/>
        <w:numPr>
          <w:ilvl w:val="0"/>
          <w:numId w:val="1003"/>
        </w:numPr>
      </w:pPr>
      <w:r>
        <w:rPr>
          <w:rFonts w:hint="eastAsia"/>
        </w:rPr>
        <w:t xml:space="preserve">乙は、甲に対し、本対象設備について次の各号に定める業務を提供する。</w:t>
      </w:r>
    </w:p>
    <w:p>
      <w:pPr>
        <w:pStyle w:val="Compact"/>
        <w:numPr>
          <w:ilvl w:val="0"/>
          <w:numId w:val="1004"/>
        </w:numPr>
      </w:pPr>
      <w:r>
        <w:rPr>
          <w:rFonts w:hint="eastAsia"/>
        </w:rPr>
        <w:t xml:space="preserve">定期保守(別紙「点検項目」に定める頻度・内容により実施)</w:t>
      </w:r>
    </w:p>
    <w:p>
      <w:pPr>
        <w:pStyle w:val="Compact"/>
        <w:numPr>
          <w:ilvl w:val="0"/>
          <w:numId w:val="1004"/>
        </w:numPr>
      </w:pPr>
      <w:r>
        <w:rPr>
          <w:rFonts w:hint="eastAsia"/>
        </w:rPr>
        <w:t xml:space="preserve">予防保守(部品の磨耗状況確認、消耗品交換、調整等)</w:t>
      </w:r>
    </w:p>
    <w:p>
      <w:pPr>
        <w:pStyle w:val="Compact"/>
        <w:numPr>
          <w:ilvl w:val="0"/>
          <w:numId w:val="1004"/>
        </w:numPr>
      </w:pPr>
      <w:r>
        <w:rPr>
          <w:rFonts w:hint="eastAsia"/>
        </w:rPr>
        <w:t xml:space="preserve">故障対応(故障・障害発生時の原因調査、修理、復旧)</w:t>
      </w:r>
    </w:p>
    <w:p>
      <w:pPr>
        <w:pStyle w:val="Compact"/>
        <w:numPr>
          <w:ilvl w:val="0"/>
          <w:numId w:val="1004"/>
        </w:numPr>
      </w:pPr>
      <w:r>
        <w:rPr>
          <w:rFonts w:hint="eastAsia"/>
        </w:rPr>
        <w:t xml:space="preserve">技術的問合せへの対応(電話・電子メール等による相談対応)</w:t>
      </w:r>
    </w:p>
    <w:p>
      <w:pPr>
        <w:pStyle w:val="Compact"/>
        <w:numPr>
          <w:ilvl w:val="0"/>
          <w:numId w:val="1004"/>
        </w:numPr>
      </w:pPr>
      <w:r>
        <w:rPr>
          <w:rFonts w:hint="eastAsia"/>
        </w:rPr>
        <w:t xml:space="preserve">点検・対応に関する報告書の作成・提出</w:t>
      </w:r>
    </w:p>
    <w:p>
      <w:pPr>
        <w:pStyle w:val="Compact"/>
        <w:numPr>
          <w:ilvl w:val="0"/>
          <w:numId w:val="1004"/>
        </w:numPr>
      </w:pPr>
      <w:r>
        <w:rPr>
          <w:rFonts w:hint="eastAsia"/>
        </w:rPr>
        <w:t xml:space="preserve">その他、別紙又は甲乙協議により定める業務</w:t>
      </w:r>
    </w:p>
    <w:p>
      <w:pPr>
        <w:numPr>
          <w:ilvl w:val="0"/>
          <w:numId w:val="1005"/>
        </w:numPr>
      </w:pPr>
      <w:r>
        <w:rPr>
          <w:rFonts w:hint="eastAsia"/>
        </w:rPr>
        <w:t xml:space="preserve">本業務の対応時間帯は、原則として平日[9]時から[18]時まで(土日祝日及び年末年始[YYYY年12月29日〜翌年1月3日]を除く)とする。</w:t>
      </w:r>
    </w:p>
    <w:p>
      <w:pPr>
        <w:numPr>
          <w:ilvl w:val="0"/>
          <w:numId w:val="1005"/>
        </w:numPr>
      </w:pPr>
      <w:r>
        <w:rPr>
          <w:rFonts w:hint="eastAsia"/>
        </w:rPr>
        <w:t xml:space="preserve">前項の対応時間帯外における緊急対応については、第5条に定めるSLA及び第11条に定める出張費の規定に従い、別途取り扱う。</w:t>
      </w:r>
    </w:p>
    <w:p>
      <w:r>
        <w:pict>
          <v:rect style="width:0;height:1.5pt" o:hralign="center" o:hrstd="t" o:hr="t"/>
        </w:pict>
      </w:r>
    </w:p>
    <w:bookmarkEnd w:id="15"/>
    <w:bookmarkStart w:id="16" w:name="第5条応答時間及び対応開始時間sla"/>
    <w:p>
      <w:pPr>
        <w:pStyle w:val="Heading2"/>
      </w:pPr>
      <w:r>
        <w:rPr>
          <w:rFonts w:hint="eastAsia"/>
        </w:rPr>
        <w:t xml:space="preserve">第5条(応答時間及び対応開始時間(SLA))</w:t>
      </w:r>
    </w:p>
    <w:p>
      <w:pPr>
        <w:pStyle w:val="FirstParagraph"/>
      </w:pPr>
      <w:r>
        <w:rPr>
          <w:rFonts w:hint="eastAsia"/>
          <w:b/>
          <w:bCs/>
        </w:rPr>
        <w:t xml:space="preserve">【解説】</w:t>
      </w:r>
      <w:r>
        <w:t xml:space="preserve"> </w:t>
      </w:r>
      <w:r>
        <w:rPr>
          <w:rFonts w:hint="eastAsia"/>
        </w:rPr>
        <w:t xml:space="preserve">保守契約で最もトラブルになりやすい条項です。応答時間と対応開始時間を区別し、障害レベル別に明示することが重要。具体的な数値で書かないと「速やかに」のような曖昧表現になり、紛争原因になります。</w:t>
      </w:r>
    </w:p>
    <w:p>
      <w:pPr>
        <w:pStyle w:val="Compact"/>
        <w:numPr>
          <w:ilvl w:val="0"/>
          <w:numId w:val="1006"/>
        </w:numPr>
      </w:pPr>
      <w:r>
        <w:rPr>
          <w:rFonts w:hint="eastAsia"/>
        </w:rPr>
        <w:t xml:space="preserve">乙は、甲から本対象設備の故障・障害(以下「障害」という。)の連絡を受けた場合、障害の重大性に応じて次のとおり対応する。</w:t>
      </w:r>
    </w:p>
    <w:tbl>
      <w:tblPr>
        <w:tblStyle w:val="Table"/>
        <w:tblW w:type="pct" w:w="5000"/>
        <w:tblLayout w:type="fixed"/>
        <w:tblLook w:firstRow="1" w:lastRow="0" w:firstColumn="0" w:lastColumn="0" w:noHBand="0" w:noVBand="0" w:val="0020"/>
      </w:tblPr>
      <w:tblGrid>
        <w:gridCol w:w="2074"/>
        <w:gridCol w:w="1885"/>
        <w:gridCol w:w="1697"/>
        <w:gridCol w:w="2262"/>
      </w:tblGrid>
      <w:tr>
        <w:trPr>
          <w:tblHeader w:val="on"/>
        </w:trPr>
        <w:tc>
          <w:tcPr/>
          <w:p>
            <w:pPr>
              <w:pStyle w:val="Compact"/>
            </w:pPr>
            <w:r>
              <w:rPr>
                <w:rFonts w:hint="eastAsia"/>
              </w:rPr>
              <w:t xml:space="preserve">障害レベル</w:t>
            </w:r>
          </w:p>
        </w:tc>
        <w:tc>
          <w:tcPr/>
          <w:p>
            <w:pPr>
              <w:pStyle w:val="Compact"/>
            </w:pPr>
            <w:r>
              <w:rPr>
                <w:rFonts w:hint="eastAsia"/>
              </w:rPr>
              <w:t xml:space="preserve">内容の目安</w:t>
            </w:r>
          </w:p>
        </w:tc>
        <w:tc>
          <w:tcPr/>
          <w:p>
            <w:pPr>
              <w:pStyle w:val="Compact"/>
            </w:pPr>
            <w:r>
              <w:rPr>
                <w:rFonts w:hint="eastAsia"/>
              </w:rPr>
              <w:t xml:space="preserve">応答時間</w:t>
            </w:r>
          </w:p>
        </w:tc>
        <w:tc>
          <w:tcPr/>
          <w:p>
            <w:pPr>
              <w:pStyle w:val="Compact"/>
            </w:pPr>
            <w:r>
              <w:rPr>
                <w:rFonts w:hint="eastAsia"/>
              </w:rPr>
              <w:t xml:space="preserve">対応開始時間</w:t>
            </w:r>
          </w:p>
        </w:tc>
      </w:tr>
      <w:tr>
        <w:tc>
          <w:tcPr/>
          <w:p>
            <w:pPr>
              <w:pStyle w:val="Compact"/>
            </w:pPr>
            <w:r>
              <w:rPr>
                <w:rFonts w:hint="eastAsia"/>
              </w:rPr>
              <w:t xml:space="preserve">緊急(レベル1)</w:t>
            </w:r>
          </w:p>
        </w:tc>
        <w:tc>
          <w:tcPr/>
          <w:p>
            <w:pPr>
              <w:pStyle w:val="Compact"/>
            </w:pPr>
            <w:r>
              <w:rPr>
                <w:rFonts w:hint="eastAsia"/>
              </w:rPr>
              <w:t xml:space="preserve">本対象設備の主要機能が全面停止し、業務継続が極めて困難な状態</w:t>
            </w:r>
          </w:p>
        </w:tc>
        <w:tc>
          <w:tcPr/>
          <w:p>
            <w:pPr>
              <w:pStyle w:val="Compact"/>
            </w:pPr>
            <w:r>
              <w:rPr>
                <w:rFonts w:hint="eastAsia"/>
              </w:rPr>
              <w:t xml:space="preserve">[30]分以内</w:t>
            </w:r>
          </w:p>
        </w:tc>
        <w:tc>
          <w:tcPr/>
          <w:p>
            <w:pPr>
              <w:pStyle w:val="Compact"/>
            </w:pPr>
            <w:r>
              <w:rPr>
                <w:rFonts w:hint="eastAsia"/>
              </w:rPr>
              <w:t xml:space="preserve">[2]時間以内</w:t>
            </w:r>
          </w:p>
        </w:tc>
      </w:tr>
      <w:tr>
        <w:tc>
          <w:tcPr/>
          <w:p>
            <w:pPr>
              <w:pStyle w:val="Compact"/>
            </w:pPr>
            <w:r>
              <w:rPr>
                <w:rFonts w:hint="eastAsia"/>
              </w:rPr>
              <w:t xml:space="preserve">高(レベル2)</w:t>
            </w:r>
          </w:p>
        </w:tc>
        <w:tc>
          <w:tcPr/>
          <w:p>
            <w:pPr>
              <w:pStyle w:val="Compact"/>
            </w:pPr>
            <w:r>
              <w:rPr>
                <w:rFonts w:hint="eastAsia"/>
              </w:rPr>
              <w:t xml:space="preserve">主要機能の一部が停止し、業務に重大な支障が生じている状態</w:t>
            </w:r>
          </w:p>
        </w:tc>
        <w:tc>
          <w:tcPr/>
          <w:p>
            <w:pPr>
              <w:pStyle w:val="Compact"/>
            </w:pPr>
            <w:r>
              <w:rPr>
                <w:rFonts w:hint="eastAsia"/>
              </w:rPr>
              <w:t xml:space="preserve">[1]時間以内</w:t>
            </w:r>
          </w:p>
        </w:tc>
        <w:tc>
          <w:tcPr/>
          <w:p>
            <w:pPr>
              <w:pStyle w:val="Compact"/>
            </w:pPr>
            <w:r>
              <w:rPr>
                <w:rFonts w:hint="eastAsia"/>
              </w:rPr>
              <w:t xml:space="preserve">[4]時間以内</w:t>
            </w:r>
          </w:p>
        </w:tc>
      </w:tr>
      <w:tr>
        <w:tc>
          <w:tcPr/>
          <w:p>
            <w:pPr>
              <w:pStyle w:val="Compact"/>
            </w:pPr>
            <w:r>
              <w:rPr>
                <w:rFonts w:hint="eastAsia"/>
              </w:rPr>
              <w:t xml:space="preserve">中(レベル3)</w:t>
            </w:r>
          </w:p>
        </w:tc>
        <w:tc>
          <w:tcPr/>
          <w:p>
            <w:pPr>
              <w:pStyle w:val="Compact"/>
            </w:pPr>
            <w:r>
              <w:rPr>
                <w:rFonts w:hint="eastAsia"/>
              </w:rPr>
              <w:t xml:space="preserve">一部機能が停止しているが、回避策により業務継続が可能な状態</w:t>
            </w:r>
          </w:p>
        </w:tc>
        <w:tc>
          <w:tcPr/>
          <w:p>
            <w:pPr>
              <w:pStyle w:val="Compact"/>
            </w:pPr>
            <w:r>
              <w:rPr>
                <w:rFonts w:hint="eastAsia"/>
              </w:rPr>
              <w:t xml:space="preserve">[4]時間以内</w:t>
            </w:r>
          </w:p>
        </w:tc>
        <w:tc>
          <w:tcPr/>
          <w:p>
            <w:pPr>
              <w:pStyle w:val="Compact"/>
            </w:pPr>
            <w:r>
              <w:rPr>
                <w:rFonts w:hint="eastAsia"/>
              </w:rPr>
              <w:t xml:space="preserve">[1]営業日以内</w:t>
            </w:r>
          </w:p>
        </w:tc>
      </w:tr>
      <w:tr>
        <w:tc>
          <w:tcPr/>
          <w:p>
            <w:pPr>
              <w:pStyle w:val="Compact"/>
            </w:pPr>
            <w:r>
              <w:rPr>
                <w:rFonts w:hint="eastAsia"/>
              </w:rPr>
              <w:t xml:space="preserve">低(レベル4)</w:t>
            </w:r>
          </w:p>
        </w:tc>
        <w:tc>
          <w:tcPr/>
          <w:p>
            <w:pPr>
              <w:pStyle w:val="Compact"/>
            </w:pPr>
            <w:r>
              <w:rPr>
                <w:rFonts w:hint="eastAsia"/>
              </w:rPr>
              <w:t xml:space="preserve">軽微な不具合・要望事項</w:t>
            </w:r>
          </w:p>
        </w:tc>
        <w:tc>
          <w:tcPr/>
          <w:p>
            <w:pPr>
              <w:pStyle w:val="Compact"/>
            </w:pPr>
            <w:r>
              <w:rPr>
                <w:rFonts w:hint="eastAsia"/>
              </w:rPr>
              <w:t xml:space="preserve">[1]営業日以内</w:t>
            </w:r>
          </w:p>
        </w:tc>
        <w:tc>
          <w:tcPr/>
          <w:p>
            <w:pPr>
              <w:pStyle w:val="Compact"/>
            </w:pPr>
            <w:r>
              <w:rPr>
                <w:rFonts w:hint="eastAsia"/>
              </w:rPr>
              <w:t xml:space="preserve">[3]営業日以内</w:t>
            </w:r>
          </w:p>
        </w:tc>
      </w:tr>
    </w:tbl>
    <w:p>
      <w:pPr>
        <w:numPr>
          <w:ilvl w:val="0"/>
          <w:numId w:val="1007"/>
        </w:numPr>
      </w:pPr>
      <w:r>
        <w:rPr>
          <w:rFonts w:hint="eastAsia"/>
        </w:rPr>
        <w:t xml:space="preserve">前項の応答時間及び対応開始時間は、第4条第2項に定める対応時間帯における時間を指すものとする。</w:t>
      </w:r>
    </w:p>
    <w:p>
      <w:pPr>
        <w:numPr>
          <w:ilvl w:val="0"/>
          <w:numId w:val="1007"/>
        </w:numPr>
      </w:pPr>
      <w:r>
        <w:rPr>
          <w:rFonts w:hint="eastAsia"/>
        </w:rPr>
        <w:t xml:space="preserve">対応時間帯外における緊急障害対応(レベル1及びレベル2に限る)については、別途緊急対応料金として、1時間あたり金[○,○○○]円(税抜)を加算するものとする。</w:t>
      </w:r>
    </w:p>
    <w:p>
      <w:pPr>
        <w:numPr>
          <w:ilvl w:val="0"/>
          <w:numId w:val="1007"/>
        </w:numPr>
      </w:pPr>
      <w:r>
        <w:rPr>
          <w:rFonts w:hint="eastAsia"/>
        </w:rPr>
        <w:t xml:space="preserve">乙が本条のSLAに重大な違反を継続した場合の取扱いは、次のとおりとする。</w:t>
      </w:r>
    </w:p>
    <w:p>
      <w:pPr>
        <w:pStyle w:val="Compact"/>
        <w:numPr>
          <w:ilvl w:val="0"/>
          <w:numId w:val="1008"/>
        </w:numPr>
      </w:pPr>
      <w:r>
        <w:rPr>
          <w:rFonts w:hint="eastAsia"/>
        </w:rPr>
        <w:t xml:space="preserve">月間の重大なSLA違反が[3]回を超えた場合、甲は当該月の保守料金の[20]%の減額を請求できる。</w:t>
      </w:r>
    </w:p>
    <w:p>
      <w:pPr>
        <w:pStyle w:val="Compact"/>
        <w:numPr>
          <w:ilvl w:val="0"/>
          <w:numId w:val="1008"/>
        </w:numPr>
      </w:pPr>
      <w:r>
        <w:rPr>
          <w:rFonts w:hint="eastAsia"/>
        </w:rPr>
        <w:t xml:space="preserve">SLA違反が[3]ヶ月連続した場合、甲は乙に対し是正計画の提出を求めることができる。</w:t>
      </w:r>
    </w:p>
    <w:p>
      <w:pPr>
        <w:pStyle w:val="Compact"/>
        <w:numPr>
          <w:ilvl w:val="0"/>
          <w:numId w:val="1008"/>
        </w:numPr>
      </w:pPr>
      <w:r>
        <w:rPr>
          <w:rFonts w:hint="eastAsia"/>
        </w:rPr>
        <w:t xml:space="preserve">SLA違反の継続が改善されない場合、甲は本契約を解除することができる。</w:t>
      </w:r>
    </w:p>
    <w:p>
      <w:r>
        <w:pict>
          <v:rect style="width:0;height:1.5pt" o:hralign="center" o:hrstd="t" o:hr="t"/>
        </w:pict>
      </w:r>
    </w:p>
    <w:bookmarkEnd w:id="16"/>
    <w:bookmarkStart w:id="17" w:name="第6条業務遂行方法連絡体制"/>
    <w:p>
      <w:pPr>
        <w:pStyle w:val="Heading2"/>
      </w:pPr>
      <w:r>
        <w:rPr>
          <w:rFonts w:hint="eastAsia"/>
        </w:rPr>
        <w:t xml:space="preserve">第6条(業務遂行方法・連絡体制)</w:t>
      </w:r>
    </w:p>
    <w:p>
      <w:pPr>
        <w:pStyle w:val="FirstParagraph"/>
      </w:pPr>
      <w:r>
        <w:rPr>
          <w:rFonts w:hint="eastAsia"/>
          <w:b/>
          <w:bCs/>
        </w:rPr>
        <w:t xml:space="preserve">【解説】</w:t>
      </w:r>
      <w:r>
        <w:t xml:space="preserve"> </w:t>
      </w:r>
      <w:r>
        <w:rPr>
          <w:rFonts w:hint="eastAsia"/>
        </w:rPr>
        <w:t xml:space="preserve">保守契約は継続的なやり取りが発生するため、連絡窓口・連絡手段を契約書で固めておくと運用がスムーズです。担当者変更時の通知義務も併せて規定。</w:t>
      </w:r>
    </w:p>
    <w:p>
      <w:pPr>
        <w:numPr>
          <w:ilvl w:val="0"/>
          <w:numId w:val="1009"/>
        </w:numPr>
      </w:pPr>
      <w:r>
        <w:rPr>
          <w:rFonts w:hint="eastAsia"/>
        </w:rPr>
        <w:t xml:space="preserve">乙は、自己の責任と裁量により、本業務を誠実かつ専門的に遂行するものとする。</w:t>
      </w:r>
    </w:p>
    <w:p>
      <w:pPr>
        <w:numPr>
          <w:ilvl w:val="0"/>
          <w:numId w:val="1009"/>
        </w:numPr>
      </w:pPr>
      <w:r>
        <w:rPr>
          <w:rFonts w:hint="eastAsia"/>
        </w:rPr>
        <w:t xml:space="preserve">甲乙双方は、本業務に関する連絡窓口担当者(主担当・副担当)を相互に通知し、変更があった場合は速やかに相手方に通知する。</w:t>
      </w:r>
    </w:p>
    <w:p>
      <w:pPr>
        <w:numPr>
          <w:ilvl w:val="0"/>
          <w:numId w:val="1009"/>
        </w:numPr>
      </w:pPr>
      <w:r>
        <w:rPr>
          <w:rFonts w:hint="eastAsia"/>
        </w:rPr>
        <w:t xml:space="preserve">障害連絡は、原則として[電話、電子メール、サポート専用フォーム等]を通じて行うものとする。</w:t>
      </w:r>
    </w:p>
    <w:p>
      <w:pPr>
        <w:numPr>
          <w:ilvl w:val="0"/>
          <w:numId w:val="1009"/>
        </w:numPr>
      </w:pPr>
      <w:r>
        <w:rPr>
          <w:rFonts w:hint="eastAsia"/>
        </w:rPr>
        <w:t xml:space="preserve">乙は、本業務の遂行に際し、甲の安全管理規程、施設利用規程その他の社内ルールを遵守するものとする。</w:t>
      </w:r>
    </w:p>
    <w:p>
      <w:r>
        <w:pict>
          <v:rect style="width:0;height:1.5pt" o:hralign="center" o:hrstd="t" o:hr="t"/>
        </w:pict>
      </w:r>
    </w:p>
    <w:bookmarkEnd w:id="17"/>
    <w:bookmarkStart w:id="18" w:name="第7条保守対象外事項"/>
    <w:p>
      <w:pPr>
        <w:pStyle w:val="Heading2"/>
      </w:pPr>
      <w:r>
        <w:rPr>
          <w:rFonts w:hint="eastAsia"/>
        </w:rPr>
        <w:t xml:space="preserve">第7条(保守対象外事項)</w:t>
      </w:r>
    </w:p>
    <w:p>
      <w:pPr>
        <w:pStyle w:val="FirstParagraph"/>
      </w:pPr>
      <w:r>
        <w:rPr>
          <w:rFonts w:hint="eastAsia"/>
          <w:b/>
          <w:bCs/>
        </w:rPr>
        <w:t xml:space="preserve">【解説】</w:t>
      </w:r>
      <w:r>
        <w:t xml:space="preserve"> </w:t>
      </w:r>
      <w:r>
        <w:rPr>
          <w:rFonts w:hint="eastAsia"/>
        </w:rPr>
        <w:t xml:space="preserve">保守契約特有の重要条項。対象外事項を明示することで、想定外の作業要求や責任追及から受託者を守ります。本対象設備の類型に応じてカスタマイズしてください。</w:t>
      </w:r>
    </w:p>
    <w:p>
      <w:pPr>
        <w:pStyle w:val="Compact"/>
        <w:numPr>
          <w:ilvl w:val="0"/>
          <w:numId w:val="1010"/>
        </w:numPr>
      </w:pPr>
      <w:r>
        <w:rPr>
          <w:rFonts w:hint="eastAsia"/>
        </w:rPr>
        <w:t xml:space="preserve">次の各号に定める事項は、本業務に含まれないものとする。</w:t>
      </w:r>
    </w:p>
    <w:p>
      <w:pPr>
        <w:pStyle w:val="Compact"/>
        <w:numPr>
          <w:ilvl w:val="0"/>
          <w:numId w:val="1011"/>
        </w:numPr>
      </w:pPr>
      <w:r>
        <w:rPr>
          <w:rFonts w:hint="eastAsia"/>
        </w:rPr>
        <w:t xml:space="preserve">本対象設備の改造、改良、移設その他の物理的変更</w:t>
      </w:r>
    </w:p>
    <w:p>
      <w:pPr>
        <w:pStyle w:val="Compact"/>
        <w:numPr>
          <w:ilvl w:val="0"/>
          <w:numId w:val="1011"/>
        </w:numPr>
      </w:pPr>
      <w:r>
        <w:rPr>
          <w:rFonts w:hint="eastAsia"/>
        </w:rPr>
        <w:t xml:space="preserve">本対象設備以外の機器・設備・ソフトウェアに起因する不具合の対応</w:t>
      </w:r>
    </w:p>
    <w:p>
      <w:pPr>
        <w:pStyle w:val="Compact"/>
        <w:numPr>
          <w:ilvl w:val="0"/>
          <w:numId w:val="1011"/>
        </w:numPr>
      </w:pPr>
      <w:r>
        <w:rPr>
          <w:rFonts w:hint="eastAsia"/>
        </w:rPr>
        <w:t xml:space="preserve">甲又は第三者の故意・過失、誤使用、運用ミスに起因する故障の対応</w:t>
      </w:r>
    </w:p>
    <w:p>
      <w:pPr>
        <w:pStyle w:val="Compact"/>
        <w:numPr>
          <w:ilvl w:val="0"/>
          <w:numId w:val="1011"/>
        </w:numPr>
      </w:pPr>
      <w:r>
        <w:rPr>
          <w:rFonts w:hint="eastAsia"/>
        </w:rPr>
        <w:t xml:space="preserve">甲の取扱説明書、運用マニュアル又は乙の指示に反する使用に起因する故障の対応</w:t>
      </w:r>
    </w:p>
    <w:p>
      <w:pPr>
        <w:pStyle w:val="Compact"/>
        <w:numPr>
          <w:ilvl w:val="0"/>
          <w:numId w:val="1011"/>
        </w:numPr>
      </w:pPr>
      <w:r>
        <w:rPr>
          <w:rFonts w:hint="eastAsia"/>
        </w:rPr>
        <w:t xml:space="preserve">地震、台風、洪水、津波、火災、落雷、停電その他の不可抗力に起因する故障の対応</w:t>
      </w:r>
    </w:p>
    <w:p>
      <w:pPr>
        <w:pStyle w:val="Compact"/>
        <w:numPr>
          <w:ilvl w:val="0"/>
          <w:numId w:val="1011"/>
        </w:numPr>
      </w:pPr>
      <w:r>
        <w:rPr>
          <w:rFonts w:hint="eastAsia"/>
        </w:rPr>
        <w:t xml:space="preserve">電源環境・設置環境の変化又は不適切に起因する故障の対応</w:t>
      </w:r>
    </w:p>
    <w:p>
      <w:pPr>
        <w:pStyle w:val="Compact"/>
        <w:numPr>
          <w:ilvl w:val="0"/>
          <w:numId w:val="1011"/>
        </w:numPr>
      </w:pPr>
      <w:r>
        <w:rPr>
          <w:rFonts w:hint="eastAsia"/>
        </w:rPr>
        <w:t xml:space="preserve">本対象設備の製造終了から[○]年以上経過した設備の修理(部品調達不能を含む)</w:t>
      </w:r>
    </w:p>
    <w:p>
      <w:pPr>
        <w:pStyle w:val="Compact"/>
        <w:numPr>
          <w:ilvl w:val="0"/>
          <w:numId w:val="1011"/>
        </w:numPr>
      </w:pPr>
      <w:r>
        <w:rPr>
          <w:rFonts w:hint="eastAsia"/>
        </w:rPr>
        <w:t xml:space="preserve">甲が乙以外の第三者に修理・改造を依頼したことに起因する故障の対応</w:t>
      </w:r>
    </w:p>
    <w:p>
      <w:pPr>
        <w:pStyle w:val="Compact"/>
        <w:numPr>
          <w:ilvl w:val="0"/>
          <w:numId w:val="1011"/>
        </w:numPr>
      </w:pPr>
      <w:r>
        <w:rPr>
          <w:rFonts w:hint="eastAsia"/>
        </w:rPr>
        <w:t xml:space="preserve">その他、別紙又は甲乙協議により対象外と定めた事項</w:t>
      </w:r>
    </w:p>
    <w:p>
      <w:pPr>
        <w:pStyle w:val="Compact"/>
        <w:numPr>
          <w:ilvl w:val="0"/>
          <w:numId w:val="1012"/>
        </w:numPr>
      </w:pPr>
      <w:r>
        <w:rPr>
          <w:rFonts w:hint="eastAsia"/>
        </w:rPr>
        <w:t xml:space="preserve">前項の対象外事項に該当する作業が必要となった場合、甲乙協議の上、別途見積りにより取り扱うものとする。</w:t>
      </w:r>
    </w:p>
    <w:p>
      <w:r>
        <w:pict>
          <v:rect style="width:0;height:1.5pt" o:hralign="center" o:hrstd="t" o:hr="t"/>
        </w:pict>
      </w:r>
    </w:p>
    <w:bookmarkEnd w:id="18"/>
    <w:bookmarkStart w:id="19" w:name="第8条契約期間"/>
    <w:p>
      <w:pPr>
        <w:pStyle w:val="Heading2"/>
      </w:pPr>
      <w:r>
        <w:rPr>
          <w:rFonts w:hint="eastAsia"/>
        </w:rPr>
        <w:t xml:space="preserve">第8条(契約期間)</w:t>
      </w:r>
    </w:p>
    <w:p>
      <w:pPr>
        <w:pStyle w:val="FirstParagraph"/>
      </w:pPr>
      <w:r>
        <w:rPr>
          <w:rFonts w:hint="eastAsia"/>
          <w:b/>
          <w:bCs/>
        </w:rPr>
        <w:t xml:space="preserve">【解説】</w:t>
      </w:r>
      <w:r>
        <w:t xml:space="preserve"> </w:t>
      </w:r>
      <w:r>
        <w:rPr>
          <w:rFonts w:hint="eastAsia"/>
        </w:rPr>
        <w:t xml:space="preserve">保守契約は長期継続するのが一般的で、自動更新条項を含めるのが標準です。解約予告期間は1〜3ヶ月が一般的です。</w:t>
      </w:r>
    </w:p>
    <w:p>
      <w:pPr>
        <w:numPr>
          <w:ilvl w:val="0"/>
          <w:numId w:val="1013"/>
        </w:numPr>
      </w:pPr>
      <w:r>
        <w:rPr>
          <w:rFonts w:hint="eastAsia"/>
        </w:rPr>
        <w:t xml:space="preserve">本契約の有効期間は、[YYYY年MM月DD日]から[YYYY年MM月DD日]までの[1]年間とする。</w:t>
      </w:r>
    </w:p>
    <w:p>
      <w:pPr>
        <w:numPr>
          <w:ilvl w:val="0"/>
          <w:numId w:val="1013"/>
        </w:numPr>
      </w:pPr>
      <w:r>
        <w:rPr>
          <w:rFonts w:hint="eastAsia"/>
        </w:rPr>
        <w:t xml:space="preserve">期間満了の[3]ヶ月前までに甲乙いずれからも書面又は電磁的方法による別段の意思表示がない場合、本契約は同一条件でさらに[1]年間延長されるものとし、以後も同様とする。</w:t>
      </w:r>
    </w:p>
    <w:p>
      <w:r>
        <w:pict>
          <v:rect style="width:0;height:1.5pt" o:hralign="center" o:hrstd="t" o:hr="t"/>
        </w:pict>
      </w:r>
    </w:p>
    <w:bookmarkEnd w:id="19"/>
    <w:bookmarkStart w:id="20" w:name="第9条保守料金"/>
    <w:p>
      <w:pPr>
        <w:pStyle w:val="Heading2"/>
      </w:pPr>
      <w:r>
        <w:rPr>
          <w:rFonts w:hint="eastAsia"/>
        </w:rPr>
        <w:t xml:space="preserve">第9条(保守料金)</w:t>
      </w:r>
    </w:p>
    <w:p>
      <w:pPr>
        <w:pStyle w:val="FirstParagraph"/>
      </w:pPr>
      <w:r>
        <w:rPr>
          <w:rFonts w:hint="eastAsia"/>
          <w:b/>
          <w:bCs/>
        </w:rPr>
        <w:t xml:space="preserve">【解説】</w:t>
      </w:r>
      <w:r>
        <w:t xml:space="preserve"> </w:t>
      </w:r>
      <w:r>
        <w:rPr>
          <w:rFonts w:hint="eastAsia"/>
        </w:rPr>
        <w:t xml:space="preserve">料金体系は月額固定型が一般的ですが、出張回数・対応時間で従量制とする設計もあります。何が月額料金に含まれ、何が別料金かを明確に規定することが重要。</w:t>
      </w:r>
    </w:p>
    <w:p>
      <w:pPr>
        <w:numPr>
          <w:ilvl w:val="0"/>
          <w:numId w:val="1014"/>
        </w:numPr>
      </w:pPr>
      <w:r>
        <w:rPr>
          <w:rFonts w:hint="eastAsia"/>
        </w:rPr>
        <w:t xml:space="preserve">本業務の月額保守料金は、金[○○,○○○]円(消費税及び地方消費税込み。以下「本基本料金」という。)とする。</w:t>
      </w:r>
    </w:p>
    <w:p>
      <w:pPr>
        <w:numPr>
          <w:ilvl w:val="0"/>
          <w:numId w:val="1014"/>
        </w:numPr>
      </w:pPr>
      <w:r>
        <w:rPr>
          <w:rFonts w:hint="eastAsia"/>
        </w:rPr>
        <w:t xml:space="preserve">本基本料金には、次の業務・費用を含むものとする。</w:t>
      </w:r>
    </w:p>
    <w:p>
      <w:pPr>
        <w:pStyle w:val="Compact"/>
        <w:numPr>
          <w:ilvl w:val="0"/>
          <w:numId w:val="1015"/>
        </w:numPr>
      </w:pPr>
      <w:r>
        <w:rPr>
          <w:rFonts w:hint="eastAsia"/>
        </w:rPr>
        <w:t xml:space="preserve">第4条第1項に定める定期保守及び予防保守</w:t>
      </w:r>
    </w:p>
    <w:p>
      <w:pPr>
        <w:pStyle w:val="Compact"/>
        <w:numPr>
          <w:ilvl w:val="0"/>
          <w:numId w:val="1015"/>
        </w:numPr>
      </w:pPr>
      <w:r>
        <w:rPr>
          <w:rFonts w:hint="eastAsia"/>
        </w:rPr>
        <w:t xml:space="preserve">第4条第2項に定める対応時間帯における故障対応(月[○]回まで)</w:t>
      </w:r>
    </w:p>
    <w:p>
      <w:pPr>
        <w:pStyle w:val="Compact"/>
        <w:numPr>
          <w:ilvl w:val="0"/>
          <w:numId w:val="1015"/>
        </w:numPr>
      </w:pPr>
      <w:r>
        <w:rPr>
          <w:rFonts w:hint="eastAsia"/>
        </w:rPr>
        <w:t xml:space="preserve">別紙「無償交換対象部品一覧」に記載する消耗品の交換費用</w:t>
      </w:r>
    </w:p>
    <w:p>
      <w:pPr>
        <w:pStyle w:val="Compact"/>
        <w:numPr>
          <w:ilvl w:val="0"/>
          <w:numId w:val="1015"/>
        </w:numPr>
      </w:pPr>
      <w:r>
        <w:rPr>
          <w:rFonts w:hint="eastAsia"/>
        </w:rPr>
        <w:t xml:space="preserve">別紙「無償出張エリア」内における出張費</w:t>
      </w:r>
    </w:p>
    <w:p>
      <w:pPr>
        <w:numPr>
          <w:ilvl w:val="0"/>
          <w:numId w:val="1016"/>
        </w:numPr>
      </w:pPr>
      <w:r>
        <w:rPr>
          <w:rFonts w:hint="eastAsia"/>
        </w:rPr>
        <w:t xml:space="preserve">本基本料金の対象範囲を超える業務(月の故障対応回数の超過、対応時間帯外の対応、別表記載外の部品・出張費等)については、第10条及び第11条に従い、別途追加料金を申し受ける。</w:t>
      </w:r>
    </w:p>
    <w:p>
      <w:pPr>
        <w:numPr>
          <w:ilvl w:val="0"/>
          <w:numId w:val="1016"/>
        </w:numPr>
      </w:pPr>
      <w:r>
        <w:rPr>
          <w:rFonts w:hint="eastAsia"/>
        </w:rPr>
        <w:t xml:space="preserve">月の途中で本契約を開始又は終了する場合、当該月の本基本料金は日割計算により算出するものとする。</w:t>
      </w:r>
    </w:p>
    <w:p>
      <w:r>
        <w:pict>
          <v:rect style="width:0;height:1.5pt" o:hralign="center" o:hrstd="t" o:hr="t"/>
        </w:pict>
      </w:r>
    </w:p>
    <w:bookmarkEnd w:id="20"/>
    <w:bookmarkStart w:id="21" w:name="第10条部品代消耗品の取扱い"/>
    <w:p>
      <w:pPr>
        <w:pStyle w:val="Heading2"/>
      </w:pPr>
      <w:r>
        <w:rPr>
          <w:rFonts w:hint="eastAsia"/>
        </w:rPr>
        <w:t xml:space="preserve">第10条(部品代・消耗品の取扱い)</w:t>
      </w:r>
    </w:p>
    <w:p>
      <w:pPr>
        <w:pStyle w:val="FirstParagraph"/>
      </w:pPr>
      <w:r>
        <w:rPr>
          <w:rFonts w:hint="eastAsia"/>
          <w:b/>
          <w:bCs/>
        </w:rPr>
        <w:t xml:space="preserve">【解説】</w:t>
      </w:r>
      <w:r>
        <w:t xml:space="preserve"> </w:t>
      </w:r>
      <w:r>
        <w:rPr>
          <w:rFonts w:hint="eastAsia"/>
        </w:rPr>
        <w:t xml:space="preserve">保守契約特有の論点。部品代の取扱いを明確化しないとトラブルの原因になります。無償交換対象を別紙で定めるのが実務的です。</w:t>
      </w:r>
    </w:p>
    <w:p>
      <w:pPr>
        <w:pStyle w:val="Compact"/>
        <w:numPr>
          <w:ilvl w:val="0"/>
          <w:numId w:val="1017"/>
        </w:numPr>
      </w:pPr>
      <w:r>
        <w:rPr>
          <w:rFonts w:hint="eastAsia"/>
        </w:rPr>
        <w:t xml:space="preserve">本対象設備の保守に伴い部品交換が必要となった場合、次の各号に従い処理する。</w:t>
      </w:r>
    </w:p>
    <w:p>
      <w:pPr>
        <w:pStyle w:val="Compact"/>
        <w:numPr>
          <w:ilvl w:val="0"/>
          <w:numId w:val="1018"/>
        </w:numPr>
      </w:pPr>
      <w:r>
        <w:rPr>
          <w:rFonts w:hint="eastAsia"/>
        </w:rPr>
        <w:t xml:space="preserve">別紙「無償交換対象部品一覧」に該当する部品は、本基本料金に含めて無償で交換する。</w:t>
      </w:r>
    </w:p>
    <w:p>
      <w:pPr>
        <w:pStyle w:val="Compact"/>
        <w:numPr>
          <w:ilvl w:val="0"/>
          <w:numId w:val="1018"/>
        </w:numPr>
      </w:pPr>
      <w:r>
        <w:rPr>
          <w:rFonts w:hint="eastAsia"/>
        </w:rPr>
        <w:t xml:space="preserve">前号以外の部品については、乙は甲に対し事前に見積書を提示し、甲の承諾を得たうえで実費にて交換する。</w:t>
      </w:r>
    </w:p>
    <w:p>
      <w:pPr>
        <w:numPr>
          <w:ilvl w:val="0"/>
          <w:numId w:val="1019"/>
        </w:numPr>
      </w:pPr>
      <w:r>
        <w:rPr>
          <w:rFonts w:hint="eastAsia"/>
        </w:rPr>
        <w:t xml:space="preserve">緊急性が高く事前承諾を得る時間的余裕がない場合、乙は応急処置を実施した後、速やかに甲に状況を報告し、追加料金について承諾を得るものとする。</w:t>
      </w:r>
    </w:p>
    <w:p>
      <w:pPr>
        <w:numPr>
          <w:ilvl w:val="0"/>
          <w:numId w:val="1019"/>
        </w:numPr>
      </w:pPr>
      <w:r>
        <w:rPr>
          <w:rFonts w:hint="eastAsia"/>
        </w:rPr>
        <w:t xml:space="preserve">部品の調達期間は、製造元の事情その他の事由により変動することがある。乙は調達状況を甲に通知するものとし、調達不能の場合は代替部品又は代替方法について甲乙協議する。</w:t>
      </w:r>
    </w:p>
    <w:p>
      <w:r>
        <w:pict>
          <v:rect style="width:0;height:1.5pt" o:hralign="center" o:hrstd="t" o:hr="t"/>
        </w:pict>
      </w:r>
    </w:p>
    <w:bookmarkEnd w:id="21"/>
    <w:bookmarkStart w:id="22" w:name="第11条出張費の取扱い"/>
    <w:p>
      <w:pPr>
        <w:pStyle w:val="Heading2"/>
      </w:pPr>
      <w:r>
        <w:rPr>
          <w:rFonts w:hint="eastAsia"/>
        </w:rPr>
        <w:t xml:space="preserve">第11条(出張費の取扱い)</w:t>
      </w:r>
    </w:p>
    <w:p>
      <w:pPr>
        <w:pStyle w:val="FirstParagraph"/>
      </w:pPr>
      <w:r>
        <w:rPr>
          <w:rFonts w:hint="eastAsia"/>
          <w:b/>
          <w:bCs/>
        </w:rPr>
        <w:t xml:space="preserve">【解説】</w:t>
      </w:r>
      <w:r>
        <w:t xml:space="preserve"> </w:t>
      </w:r>
      <w:r>
        <w:rPr>
          <w:rFonts w:hint="eastAsia"/>
        </w:rPr>
        <w:t xml:space="preserve">出張費の取扱いも紛争原因になりやすい論点。エリア・回数・距離による区分を契約書で明示するのが安全です。</w:t>
      </w:r>
    </w:p>
    <w:p>
      <w:pPr>
        <w:pStyle w:val="Compact"/>
        <w:numPr>
          <w:ilvl w:val="0"/>
          <w:numId w:val="1020"/>
        </w:numPr>
      </w:pPr>
      <w:r>
        <w:rPr>
          <w:rFonts w:hint="eastAsia"/>
        </w:rPr>
        <w:t xml:space="preserve">本業務に伴う出張費は、次の各号に従い処理する。</w:t>
      </w:r>
    </w:p>
    <w:p>
      <w:pPr>
        <w:pStyle w:val="Compact"/>
        <w:numPr>
          <w:ilvl w:val="0"/>
          <w:numId w:val="1021"/>
        </w:numPr>
      </w:pPr>
      <w:r>
        <w:rPr>
          <w:rFonts w:hint="eastAsia"/>
        </w:rPr>
        <w:t xml:space="preserve">別紙「無償出張エリア」内における出張は、本基本料金に含む。</w:t>
      </w:r>
    </w:p>
    <w:p>
      <w:pPr>
        <w:pStyle w:val="Compact"/>
        <w:numPr>
          <w:ilvl w:val="0"/>
          <w:numId w:val="1021"/>
        </w:numPr>
      </w:pPr>
      <w:r>
        <w:rPr>
          <w:rFonts w:hint="eastAsia"/>
        </w:rPr>
        <w:t xml:space="preserve">別紙の無償出張エリア外における出張は、別途実費(交通費・宿泊費)を加算する。</w:t>
      </w:r>
    </w:p>
    <w:p>
      <w:pPr>
        <w:pStyle w:val="Compact"/>
        <w:numPr>
          <w:ilvl w:val="0"/>
          <w:numId w:val="1022"/>
        </w:numPr>
      </w:pPr>
      <w:r>
        <w:rPr>
          <w:rFonts w:hint="eastAsia"/>
        </w:rPr>
        <w:t xml:space="preserve">対応時間帯外(夜間・土日祝日)における緊急出張対応については、第5条第3項に定める緊急対応料金に加え、必要に応じて深夜・休日割増(基本出張費の[25]%増し)を加算するものとする。</w:t>
      </w:r>
    </w:p>
    <w:p>
      <w:r>
        <w:pict>
          <v:rect style="width:0;height:1.5pt" o:hralign="center" o:hrstd="t" o:hr="t"/>
        </w:pict>
      </w:r>
    </w:p>
    <w:bookmarkEnd w:id="22"/>
    <w:bookmarkStart w:id="23" w:name="第12条保守料金の支払"/>
    <w:p>
      <w:pPr>
        <w:pStyle w:val="Heading2"/>
      </w:pPr>
      <w:r>
        <w:rPr>
          <w:rFonts w:hint="eastAsia"/>
        </w:rPr>
        <w:t xml:space="preserve">第12条(保守料金の支払)</w:t>
      </w:r>
    </w:p>
    <w:p>
      <w:pPr>
        <w:pStyle w:val="FirstParagraph"/>
      </w:pPr>
      <w:r>
        <w:rPr>
          <w:rFonts w:hint="eastAsia"/>
          <w:b/>
          <w:bCs/>
        </w:rPr>
        <w:t xml:space="preserve">【解説】</w:t>
      </w:r>
      <w:r>
        <w:t xml:space="preserve"> </w:t>
      </w:r>
      <w:r>
        <w:rPr>
          <w:rFonts w:hint="eastAsia"/>
        </w:rPr>
        <w:t xml:space="preserve">フリーランス新法・取適法に対応した支払条項です。乙が個人事業主等の場合、検収後60日以内の支払を原則とします。</w:t>
      </w:r>
    </w:p>
    <w:p>
      <w:pPr>
        <w:numPr>
          <w:ilvl w:val="0"/>
          <w:numId w:val="1023"/>
        </w:numPr>
      </w:pPr>
      <w:r>
        <w:rPr>
          <w:rFonts w:hint="eastAsia"/>
        </w:rPr>
        <w:t xml:space="preserve">乙は、本基本料金及び追加料金について、毎月末日締めで、翌月[5]日までに甲に対し請求書を発行する。</w:t>
      </w:r>
    </w:p>
    <w:p>
      <w:pPr>
        <w:numPr>
          <w:ilvl w:val="0"/>
          <w:numId w:val="1023"/>
        </w:numPr>
      </w:pPr>
      <w:r>
        <w:rPr>
          <w:rFonts w:hint="eastAsia"/>
        </w:rPr>
        <w:t xml:space="preserve">甲は、前項の請求書を受領した日の属する月の末日(かつ、各月の業務遂行完了日から60日以内)までに、乙が指定する銀行口座に振り込む方法により料金を支払うものとする。</w:t>
      </w:r>
    </w:p>
    <w:p>
      <w:pPr>
        <w:numPr>
          <w:ilvl w:val="0"/>
          <w:numId w:val="1023"/>
        </w:numPr>
      </w:pPr>
      <w:r>
        <w:rPr>
          <w:rFonts w:hint="eastAsia"/>
        </w:rPr>
        <w:t xml:space="preserve">振込みに要する手数料は、甲の負担とする。</w:t>
      </w:r>
    </w:p>
    <w:p>
      <w:pPr>
        <w:numPr>
          <w:ilvl w:val="0"/>
          <w:numId w:val="1023"/>
        </w:numPr>
      </w:pPr>
      <w:r>
        <w:rPr>
          <w:rFonts w:hint="eastAsia"/>
        </w:rPr>
        <w:t xml:space="preserve">甲が前項の支払期日までに料金を支払わない場合、甲は乙に対し、支払期日の翌日から支払済みまで、年[14.6]%の割合による遅延損害金を支払うものとする。</w:t>
      </w:r>
    </w:p>
    <w:p>
      <w:r>
        <w:pict>
          <v:rect style="width:0;height:1.5pt" o:hralign="center" o:hrstd="t" o:hr="t"/>
        </w:pict>
      </w:r>
    </w:p>
    <w:bookmarkEnd w:id="23"/>
    <w:bookmarkStart w:id="24" w:name="第13条報告義務"/>
    <w:p>
      <w:pPr>
        <w:pStyle w:val="Heading2"/>
      </w:pPr>
      <w:r>
        <w:rPr>
          <w:rFonts w:hint="eastAsia"/>
        </w:rPr>
        <w:t xml:space="preserve">第13条(報告義務)</w:t>
      </w:r>
    </w:p>
    <w:p>
      <w:pPr>
        <w:pStyle w:val="FirstParagraph"/>
      </w:pPr>
      <w:r>
        <w:rPr>
          <w:rFonts w:hint="eastAsia"/>
          <w:b/>
          <w:bCs/>
        </w:rPr>
        <w:t xml:space="preserve">【解説】</w:t>
      </w:r>
      <w:r>
        <w:t xml:space="preserve"> </w:t>
      </w:r>
      <w:r>
        <w:rPr>
          <w:rFonts w:hint="eastAsia"/>
        </w:rPr>
        <w:t xml:space="preserve">保守業務の透明性を確保する条項。点検報告書・障害報告書の提出義務を明示することで、業務の品質管理が可能になります。</w:t>
      </w:r>
    </w:p>
    <w:p>
      <w:pPr>
        <w:pStyle w:val="Compact"/>
        <w:numPr>
          <w:ilvl w:val="0"/>
          <w:numId w:val="1024"/>
        </w:numPr>
      </w:pPr>
      <w:r>
        <w:rPr>
          <w:rFonts w:hint="eastAsia"/>
        </w:rPr>
        <w:t xml:space="preserve">乙は、次の各号に定める報告を、書面又は電磁的方法により甲に提出する。</w:t>
      </w:r>
    </w:p>
    <w:p>
      <w:pPr>
        <w:pStyle w:val="Compact"/>
        <w:numPr>
          <w:ilvl w:val="0"/>
          <w:numId w:val="1025"/>
        </w:numPr>
      </w:pPr>
      <w:r>
        <w:rPr>
          <w:rFonts w:hint="eastAsia"/>
        </w:rPr>
        <w:t xml:space="preserve">定期保守報告:定期保守実施後[7]営業日以内に、点検結果・実施内容をまとめた報告書を提出</w:t>
      </w:r>
    </w:p>
    <w:p>
      <w:pPr>
        <w:pStyle w:val="Compact"/>
        <w:numPr>
          <w:ilvl w:val="0"/>
          <w:numId w:val="1025"/>
        </w:numPr>
      </w:pPr>
      <w:r>
        <w:rPr>
          <w:rFonts w:hint="eastAsia"/>
        </w:rPr>
        <w:t xml:space="preserve">障害対応報告:障害対応完了後[3]営業日以内に、原因・対応内容・再発防止策をまとめた報告書を提出</w:t>
      </w:r>
    </w:p>
    <w:p>
      <w:pPr>
        <w:pStyle w:val="Compact"/>
        <w:numPr>
          <w:ilvl w:val="0"/>
          <w:numId w:val="1025"/>
        </w:numPr>
      </w:pPr>
      <w:r>
        <w:rPr>
          <w:rFonts w:hint="eastAsia"/>
        </w:rPr>
        <w:t xml:space="preserve">月次サマリー:毎月末締めで、当月の保守活動全般の概要を取りまとめた月次レポートを翌月[10]日までに提出</w:t>
      </w:r>
    </w:p>
    <w:p>
      <w:pPr>
        <w:pStyle w:val="Compact"/>
        <w:numPr>
          <w:ilvl w:val="0"/>
          <w:numId w:val="1026"/>
        </w:numPr>
      </w:pPr>
      <w:r>
        <w:rPr>
          <w:rFonts w:hint="eastAsia"/>
        </w:rPr>
        <w:t xml:space="preserve">甲は、報告内容に関し疑義がある場合、乙に対し追加説明を求めることができる。</w:t>
      </w:r>
    </w:p>
    <w:p>
      <w:r>
        <w:pict>
          <v:rect style="width:0;height:1.5pt" o:hralign="center" o:hrstd="t" o:hr="t"/>
        </w:pict>
      </w:r>
    </w:p>
    <w:bookmarkEnd w:id="24"/>
    <w:bookmarkStart w:id="25" w:name="第14条契約不適合責任"/>
    <w:p>
      <w:pPr>
        <w:pStyle w:val="Heading2"/>
      </w:pPr>
      <w:r>
        <w:rPr>
          <w:rFonts w:hint="eastAsia"/>
        </w:rPr>
        <w:t xml:space="preserve">第14条(契約不適合責任)</w:t>
      </w:r>
    </w:p>
    <w:p>
      <w:pPr>
        <w:pStyle w:val="FirstParagraph"/>
      </w:pPr>
      <w:r>
        <w:rPr>
          <w:rFonts w:hint="eastAsia"/>
          <w:b/>
          <w:bCs/>
        </w:rPr>
        <w:t xml:space="preserve">【解説】</w:t>
      </w:r>
      <w:r>
        <w:t xml:space="preserve"> </w:t>
      </w:r>
      <w:r>
        <w:rPr>
          <w:rFonts w:hint="eastAsia"/>
        </w:rPr>
        <w:t xml:space="preserve">2020年民法改正の契約不適合責任に対応した条項。保守業務の不適合に対する救済手段を明示します。</w:t>
      </w:r>
    </w:p>
    <w:p>
      <w:pPr>
        <w:numPr>
          <w:ilvl w:val="0"/>
          <w:numId w:val="1027"/>
        </w:numPr>
      </w:pPr>
      <w:r>
        <w:rPr>
          <w:rFonts w:hint="eastAsia"/>
        </w:rPr>
        <w:t xml:space="preserve">乙が提供した本業務が、本契約の内容に適合しない場合、甲は乙に対し、当該不適合を知った時から[6]ヶ月以内に通知することを条件として、履行の追完(再対応、補修対応等)、保守料金の減額、損害賠償又は本契約の解除を求めることができる。</w:t>
      </w:r>
    </w:p>
    <w:p>
      <w:pPr>
        <w:numPr>
          <w:ilvl w:val="0"/>
          <w:numId w:val="1027"/>
        </w:numPr>
      </w:pPr>
      <w:r>
        <w:rPr>
          <w:rFonts w:hint="eastAsia"/>
        </w:rPr>
        <w:t xml:space="preserve">前項にかかわらず、不適合が甲の責めに帰すべき事由(指示の不備、情報提供の不備等)による場合は、同項の請求はできないものとする。</w:t>
      </w:r>
    </w:p>
    <w:p>
      <w:r>
        <w:pict>
          <v:rect style="width:0;height:1.5pt" o:hralign="center" o:hrstd="t" o:hr="t"/>
        </w:pict>
      </w:r>
    </w:p>
    <w:bookmarkEnd w:id="25"/>
    <w:bookmarkStart w:id="26" w:name="第15条損害賠償"/>
    <w:p>
      <w:pPr>
        <w:pStyle w:val="Heading2"/>
      </w:pPr>
      <w:r>
        <w:rPr>
          <w:rFonts w:hint="eastAsia"/>
        </w:rPr>
        <w:t xml:space="preserve">第15条(損害賠償)</w:t>
      </w:r>
    </w:p>
    <w:p>
      <w:pPr>
        <w:pStyle w:val="FirstParagraph"/>
      </w:pPr>
      <w:r>
        <w:rPr>
          <w:rFonts w:hint="eastAsia"/>
          <w:b/>
          <w:bCs/>
        </w:rPr>
        <w:t xml:space="preserve">【解説】</w:t>
      </w:r>
      <w:r>
        <w:t xml:space="preserve"> </w:t>
      </w:r>
      <w:r>
        <w:rPr>
          <w:rFonts w:hint="eastAsia"/>
        </w:rPr>
        <w:t xml:space="preserve">損害賠償の範囲を定めます。保守業務では、保守ミスによる二次被害(生産停止・データ損失等)が想定されるため、上限と例外を慎重に設計します。</w:t>
      </w:r>
    </w:p>
    <w:p>
      <w:pPr>
        <w:numPr>
          <w:ilvl w:val="0"/>
          <w:numId w:val="1028"/>
        </w:numPr>
      </w:pPr>
      <w:r>
        <w:rPr>
          <w:rFonts w:hint="eastAsia"/>
        </w:rPr>
        <w:t xml:space="preserve">乙が本契約に違反し、甲に損害を与えた場合、乙は甲に対し、その損害(直接かつ通常の損害に限る。)を賠償するものとする。</w:t>
      </w:r>
    </w:p>
    <w:p>
      <w:pPr>
        <w:numPr>
          <w:ilvl w:val="0"/>
          <w:numId w:val="1028"/>
        </w:numPr>
      </w:pPr>
      <w:r>
        <w:rPr>
          <w:rFonts w:hint="eastAsia"/>
        </w:rPr>
        <w:t xml:space="preserve">前項の損害賠償の額は、過去[12]ヶ月間に支払われた又は支払われるべき保守料金の総額を上限とする。ただし、次の各号に該当する場合は、この上限の適用を受けないものとする。</w:t>
      </w:r>
    </w:p>
    <w:p>
      <w:pPr>
        <w:pStyle w:val="Compact"/>
        <w:numPr>
          <w:ilvl w:val="0"/>
          <w:numId w:val="1029"/>
        </w:numPr>
      </w:pPr>
      <w:r>
        <w:rPr>
          <w:rFonts w:hint="eastAsia"/>
        </w:rPr>
        <w:t xml:space="preserve">故意又は重大な過失による違反</w:t>
      </w:r>
    </w:p>
    <w:p>
      <w:pPr>
        <w:pStyle w:val="Compact"/>
        <w:numPr>
          <w:ilvl w:val="0"/>
          <w:numId w:val="1029"/>
        </w:numPr>
      </w:pPr>
      <w:r>
        <w:rPr>
          <w:rFonts w:hint="eastAsia"/>
        </w:rPr>
        <w:t xml:space="preserve">第16条(秘密保持)違反</w:t>
      </w:r>
    </w:p>
    <w:p>
      <w:pPr>
        <w:pStyle w:val="Compact"/>
        <w:numPr>
          <w:ilvl w:val="0"/>
          <w:numId w:val="1029"/>
        </w:numPr>
      </w:pPr>
      <w:r>
        <w:rPr>
          <w:rFonts w:hint="eastAsia"/>
        </w:rPr>
        <w:t xml:space="preserve">第17条(個人情報)違反</w:t>
      </w:r>
    </w:p>
    <w:p>
      <w:pPr>
        <w:pStyle w:val="Compact"/>
        <w:numPr>
          <w:ilvl w:val="0"/>
          <w:numId w:val="1029"/>
        </w:numPr>
      </w:pPr>
      <w:r>
        <w:rPr>
          <w:rFonts w:hint="eastAsia"/>
        </w:rPr>
        <w:t xml:space="preserve">第19条(反社会的勢力の排除)違反</w:t>
      </w:r>
    </w:p>
    <w:p>
      <w:pPr>
        <w:pStyle w:val="Compact"/>
        <w:numPr>
          <w:ilvl w:val="0"/>
          <w:numId w:val="1030"/>
        </w:numPr>
      </w:pPr>
      <w:r>
        <w:rPr>
          <w:rFonts w:hint="eastAsia"/>
        </w:rPr>
        <w:t xml:space="preserve">甲は、乙に対し、本対象設備の停止・障害により生じた逸失利益、機会損失、データ損失、第三者からの請求その他の間接損害について、賠償を請求できないものとする。ただし、前項各号に該当する場合は、この限りでない。</w:t>
      </w:r>
    </w:p>
    <w:p>
      <w:r>
        <w:pict>
          <v:rect style="width:0;height:1.5pt" o:hralign="center" o:hrstd="t" o:hr="t"/>
        </w:pict>
      </w:r>
    </w:p>
    <w:bookmarkEnd w:id="26"/>
    <w:bookmarkStart w:id="27" w:name="第16条秘密保持"/>
    <w:p>
      <w:pPr>
        <w:pStyle w:val="Heading2"/>
      </w:pPr>
      <w:r>
        <w:rPr>
          <w:rFonts w:hint="eastAsia"/>
        </w:rPr>
        <w:t xml:space="preserve">第16条(秘密保持)</w:t>
      </w:r>
    </w:p>
    <w:p>
      <w:pPr>
        <w:pStyle w:val="FirstParagraph"/>
      </w:pPr>
      <w:r>
        <w:rPr>
          <w:rFonts w:hint="eastAsia"/>
          <w:b/>
          <w:bCs/>
        </w:rPr>
        <w:t xml:space="preserve">【解説】</w:t>
      </w:r>
      <w:r>
        <w:t xml:space="preserve"> </w:t>
      </w:r>
      <w:r>
        <w:rPr>
          <w:rFonts w:hint="eastAsia"/>
        </w:rPr>
        <w:t xml:space="preserve">本業務の遂行過程で知り得た相手方の秘密情報の取扱いを定めます。保守業務は機微な業務情報・システム情報を扱うことが多いため、重要な条項です。</w:t>
      </w:r>
    </w:p>
    <w:p>
      <w:pPr>
        <w:numPr>
          <w:ilvl w:val="0"/>
          <w:numId w:val="1031"/>
        </w:numPr>
      </w:pPr>
      <w:r>
        <w:rPr>
          <w:rFonts w:hint="eastAsia"/>
        </w:rPr>
        <w:t xml:space="preserve">甲及び乙は、本契約の履行に関連して知り得た相手方の技術上、営業上その他事業に関する一切の情報(以下「秘密情報」という。)を、本契約の目的以外に使用してはならず、また相手方の事前の書面又は電磁的方法による承諾なく第三者に開示又は漏えいしてはならない。</w:t>
      </w:r>
    </w:p>
    <w:p>
      <w:pPr>
        <w:numPr>
          <w:ilvl w:val="0"/>
          <w:numId w:val="1031"/>
        </w:numPr>
      </w:pPr>
      <w:r>
        <w:rPr>
          <w:rFonts w:hint="eastAsia"/>
        </w:rPr>
        <w:t xml:space="preserve">前項の規定は、本契約終了後[3]年間有効に存続する。</w:t>
      </w:r>
    </w:p>
    <w:p>
      <w:pPr>
        <w:numPr>
          <w:ilvl w:val="0"/>
          <w:numId w:val="1031"/>
        </w:numPr>
      </w:pPr>
      <w:r>
        <w:rPr>
          <w:rFonts w:hint="eastAsia"/>
        </w:rPr>
        <w:t xml:space="preserve">次の各号のいずれかに該当する情報は、秘密情報に含まれないものとする。</w:t>
      </w:r>
    </w:p>
    <w:p>
      <w:pPr>
        <w:pStyle w:val="Compact"/>
        <w:numPr>
          <w:ilvl w:val="0"/>
          <w:numId w:val="1032"/>
        </w:numPr>
      </w:pPr>
      <w:r>
        <w:rPr>
          <w:rFonts w:hint="eastAsia"/>
        </w:rPr>
        <w:t xml:space="preserve">開示の時点で既に公知となっていた情報</w:t>
      </w:r>
    </w:p>
    <w:p>
      <w:pPr>
        <w:pStyle w:val="Compact"/>
        <w:numPr>
          <w:ilvl w:val="0"/>
          <w:numId w:val="1032"/>
        </w:numPr>
      </w:pPr>
      <w:r>
        <w:rPr>
          <w:rFonts w:hint="eastAsia"/>
        </w:rPr>
        <w:t xml:space="preserve">開示後、受領者の責めによらず公知となった情報</w:t>
      </w:r>
    </w:p>
    <w:p>
      <w:pPr>
        <w:pStyle w:val="Compact"/>
        <w:numPr>
          <w:ilvl w:val="0"/>
          <w:numId w:val="1032"/>
        </w:numPr>
      </w:pPr>
      <w:r>
        <w:rPr>
          <w:rFonts w:hint="eastAsia"/>
        </w:rPr>
        <w:t xml:space="preserve">開示の時点で受領者が既に正当に保有していた情報</w:t>
      </w:r>
    </w:p>
    <w:p>
      <w:pPr>
        <w:pStyle w:val="Compact"/>
        <w:numPr>
          <w:ilvl w:val="0"/>
          <w:numId w:val="1032"/>
        </w:numPr>
      </w:pPr>
      <w:r>
        <w:rPr>
          <w:rFonts w:hint="eastAsia"/>
        </w:rPr>
        <w:t xml:space="preserve">秘密保持義務を負わない第三者から正当に取得した情報</w:t>
      </w:r>
    </w:p>
    <w:p>
      <w:pPr>
        <w:pStyle w:val="Compact"/>
        <w:numPr>
          <w:ilvl w:val="0"/>
          <w:numId w:val="1032"/>
        </w:numPr>
      </w:pPr>
      <w:r>
        <w:rPr>
          <w:rFonts w:hint="eastAsia"/>
        </w:rPr>
        <w:t xml:space="preserve">受領者が独自に開発した情報</w:t>
      </w:r>
    </w:p>
    <w:p>
      <w:r>
        <w:pict>
          <v:rect style="width:0;height:1.5pt" o:hralign="center" o:hrstd="t" o:hr="t"/>
        </w:pict>
      </w:r>
    </w:p>
    <w:bookmarkEnd w:id="27"/>
    <w:bookmarkStart w:id="28" w:name="第17条個人情報の取扱い"/>
    <w:p>
      <w:pPr>
        <w:pStyle w:val="Heading2"/>
      </w:pPr>
      <w:r>
        <w:rPr>
          <w:rFonts w:hint="eastAsia"/>
        </w:rPr>
        <w:t xml:space="preserve">第17条(個人情報の取扱い)</w:t>
      </w:r>
    </w:p>
    <w:p>
      <w:pPr>
        <w:pStyle w:val="FirstParagraph"/>
      </w:pPr>
      <w:r>
        <w:rPr>
          <w:rFonts w:hint="eastAsia"/>
          <w:b/>
          <w:bCs/>
        </w:rPr>
        <w:t xml:space="preserve">【解説】</w:t>
      </w:r>
      <w:r>
        <w:t xml:space="preserve"> </w:t>
      </w:r>
      <w:r>
        <w:rPr>
          <w:rFonts w:hint="eastAsia"/>
        </w:rPr>
        <w:t xml:space="preserve">保守業務で個人情報(顧客情報・従業員情報等)を取り扱う場合の必須条項。個人情報を扱わない業務では削除可能ですが、システム保守では通常残します。</w:t>
      </w:r>
    </w:p>
    <w:p>
      <w:pPr>
        <w:numPr>
          <w:ilvl w:val="0"/>
          <w:numId w:val="1033"/>
        </w:numPr>
      </w:pPr>
      <w:r>
        <w:rPr>
          <w:rFonts w:hint="eastAsia"/>
        </w:rPr>
        <w:t xml:space="preserve">乙は、本業務の遂行に関連して個人情報(個人情報の保護に関する法律第2条第1項に定める個人情報をいう。)を取り扱う場合、同法その他関連法令を遵守し、適切に取り扱うものとする。</w:t>
      </w:r>
    </w:p>
    <w:p>
      <w:pPr>
        <w:numPr>
          <w:ilvl w:val="0"/>
          <w:numId w:val="1033"/>
        </w:numPr>
      </w:pPr>
      <w:r>
        <w:rPr>
          <w:rFonts w:hint="eastAsia"/>
        </w:rPr>
        <w:t xml:space="preserve">乙は、個人情報を本業務の目的以外に使用してはならない。</w:t>
      </w:r>
    </w:p>
    <w:p>
      <w:pPr>
        <w:numPr>
          <w:ilvl w:val="0"/>
          <w:numId w:val="1033"/>
        </w:numPr>
      </w:pPr>
      <w:r>
        <w:rPr>
          <w:rFonts w:hint="eastAsia"/>
        </w:rPr>
        <w:t xml:space="preserve">個人情報の漏えい、滅失、毀損その他の事故が発生し、又は発生のおそれがある場合、乙は直ちに甲に通知し、必要な措置を講じる。</w:t>
      </w:r>
    </w:p>
    <w:p>
      <w:pPr>
        <w:numPr>
          <w:ilvl w:val="0"/>
          <w:numId w:val="1033"/>
        </w:numPr>
      </w:pPr>
      <w:r>
        <w:rPr>
          <w:rFonts w:hint="eastAsia"/>
        </w:rPr>
        <w:t xml:space="preserve">乙は、個人情報の安全管理のため、アクセス制限・暗号化・ログ管理等の合理的な措置を講じるものとする。</w:t>
      </w:r>
    </w:p>
    <w:p>
      <w:r>
        <w:pict>
          <v:rect style="width:0;height:1.5pt" o:hralign="center" o:hrstd="t" o:hr="t"/>
        </w:pict>
      </w:r>
    </w:p>
    <w:bookmarkEnd w:id="28"/>
    <w:bookmarkStart w:id="29" w:name="第18条再委託"/>
    <w:p>
      <w:pPr>
        <w:pStyle w:val="Heading2"/>
      </w:pPr>
      <w:r>
        <w:rPr>
          <w:rFonts w:hint="eastAsia"/>
        </w:rPr>
        <w:t xml:space="preserve">第18条(再委託)</w:t>
      </w:r>
    </w:p>
    <w:p>
      <w:pPr>
        <w:pStyle w:val="FirstParagraph"/>
      </w:pPr>
      <w:r>
        <w:rPr>
          <w:rFonts w:hint="eastAsia"/>
          <w:b/>
          <w:bCs/>
        </w:rPr>
        <w:t xml:space="preserve">【解説】</w:t>
      </w:r>
      <w:r>
        <w:t xml:space="preserve"> </w:t>
      </w:r>
      <w:r>
        <w:rPr>
          <w:rFonts w:hint="eastAsia"/>
        </w:rPr>
        <w:t xml:space="preserve">再委託の可否を明示します。保守業務は専門技術者の確保が課題となるため、再委託の余地を残しつつ、責任の所在を明確化します。</w:t>
      </w:r>
    </w:p>
    <w:p>
      <w:pPr>
        <w:numPr>
          <w:ilvl w:val="0"/>
          <w:numId w:val="1034"/>
        </w:numPr>
      </w:pPr>
      <w:r>
        <w:rPr>
          <w:rFonts w:hint="eastAsia"/>
        </w:rPr>
        <w:t xml:space="preserve">乙は、甲の事前の書面又は電磁的方法による承諾を得た場合に限り、本業務の一部を第三者に再委託することができる。</w:t>
      </w:r>
    </w:p>
    <w:p>
      <w:pPr>
        <w:numPr>
          <w:ilvl w:val="0"/>
          <w:numId w:val="1034"/>
        </w:numPr>
      </w:pPr>
      <w:r>
        <w:rPr>
          <w:rFonts w:hint="eastAsia"/>
        </w:rPr>
        <w:t xml:space="preserve">乙は、前項に基づき再委託する場合、再委託先に対し本契約と同等の義務(秘密保持、個人情報保護、安全管理等)を負わせるものとし、再委託先の本業務の遂行について甲に対し一切の責任を負うものとする。</w:t>
      </w:r>
    </w:p>
    <w:p>
      <w:r>
        <w:pict>
          <v:rect style="width:0;height:1.5pt" o:hralign="center" o:hrstd="t" o:hr="t"/>
        </w:pict>
      </w:r>
    </w:p>
    <w:bookmarkEnd w:id="29"/>
    <w:bookmarkStart w:id="30" w:name="第19条反社会的勢力の排除"/>
    <w:p>
      <w:pPr>
        <w:pStyle w:val="Heading2"/>
      </w:pPr>
      <w:r>
        <w:rPr>
          <w:rFonts w:hint="eastAsia"/>
        </w:rPr>
        <w:t xml:space="preserve">第19条(反社会的勢力の排除)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35"/>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35"/>
        </w:numPr>
      </w:pPr>
      <w:r>
        <w:rPr>
          <w:rFonts w:hint="eastAsia"/>
        </w:rPr>
        <w:t xml:space="preserve">甲及び乙は、自ら又は第三者を利用して、次の各号に該当する行為を行わないことを表明し、保証する。</w:t>
      </w:r>
    </w:p>
    <w:p>
      <w:pPr>
        <w:pStyle w:val="Compact"/>
        <w:numPr>
          <w:ilvl w:val="0"/>
          <w:numId w:val="1036"/>
        </w:numPr>
      </w:pPr>
      <w:r>
        <w:rPr>
          <w:rFonts w:hint="eastAsia"/>
        </w:rPr>
        <w:t xml:space="preserve">暴力的な要求行為</w:t>
      </w:r>
    </w:p>
    <w:p>
      <w:pPr>
        <w:pStyle w:val="Compact"/>
        <w:numPr>
          <w:ilvl w:val="0"/>
          <w:numId w:val="1036"/>
        </w:numPr>
      </w:pPr>
      <w:r>
        <w:rPr>
          <w:rFonts w:hint="eastAsia"/>
        </w:rPr>
        <w:t xml:space="preserve">法的な責任を超えた不当な要求行為</w:t>
      </w:r>
    </w:p>
    <w:p>
      <w:pPr>
        <w:pStyle w:val="Compact"/>
        <w:numPr>
          <w:ilvl w:val="0"/>
          <w:numId w:val="1036"/>
        </w:numPr>
      </w:pPr>
      <w:r>
        <w:rPr>
          <w:rFonts w:hint="eastAsia"/>
        </w:rPr>
        <w:t xml:space="preserve">取引に関して、脅迫的な言動をし、又は暴力を用いる行為</w:t>
      </w:r>
    </w:p>
    <w:p>
      <w:pPr>
        <w:pStyle w:val="Compact"/>
        <w:numPr>
          <w:ilvl w:val="0"/>
          <w:numId w:val="1036"/>
        </w:numPr>
      </w:pPr>
      <w:r>
        <w:rPr>
          <w:rFonts w:hint="eastAsia"/>
        </w:rPr>
        <w:t xml:space="preserve">風説を流布し、偽計又は威力を用いて相手方の信用を毀損し、又は業務を妨害する行為</w:t>
      </w:r>
    </w:p>
    <w:p>
      <w:pPr>
        <w:pStyle w:val="Compact"/>
        <w:numPr>
          <w:ilvl w:val="0"/>
          <w:numId w:val="1036"/>
        </w:numPr>
      </w:pPr>
      <w:r>
        <w:rPr>
          <w:rFonts w:hint="eastAsia"/>
        </w:rPr>
        <w:t xml:space="preserve">その他前各号に準ずる行為</w:t>
      </w:r>
    </w:p>
    <w:p>
      <w:pPr>
        <w:pStyle w:val="Compact"/>
        <w:numPr>
          <w:ilvl w:val="0"/>
          <w:numId w:val="1037"/>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30"/>
    <w:bookmarkStart w:id="31" w:name="第20条解除"/>
    <w:p>
      <w:pPr>
        <w:pStyle w:val="Heading2"/>
      </w:pPr>
      <w:r>
        <w:rPr>
          <w:rFonts w:hint="eastAsia"/>
        </w:rPr>
        <w:t xml:space="preserve">第20条(解除)</w:t>
      </w:r>
    </w:p>
    <w:p>
      <w:pPr>
        <w:pStyle w:val="FirstParagraph"/>
      </w:pPr>
      <w:r>
        <w:rPr>
          <w:rFonts w:hint="eastAsia"/>
          <w:b/>
          <w:bCs/>
        </w:rPr>
        <w:t xml:space="preserve">【解説】</w:t>
      </w:r>
      <w:r>
        <w:t xml:space="preserve"> </w:t>
      </w:r>
      <w:r>
        <w:rPr>
          <w:rFonts w:hint="eastAsia"/>
        </w:rPr>
        <w:t xml:space="preserve">契約解除の事由を明確化します。催告解除と無催告解除を区別する標準的な構成です。SLA違反(第5条第4項)による解除権との整合性も確保。</w:t>
      </w:r>
    </w:p>
    <w:p>
      <w:pPr>
        <w:numPr>
          <w:ilvl w:val="0"/>
          <w:numId w:val="1038"/>
        </w:numPr>
      </w:pPr>
      <w:r>
        <w:rPr>
          <w:rFonts w:hint="eastAsia"/>
        </w:rPr>
        <w:t xml:space="preserve">甲又は乙は、相手方が本契約のいずれかの条項に違反し、相当の期間を定めた催告にもかかわらず是正されない場合、本契約を解除することができる。</w:t>
      </w:r>
    </w:p>
    <w:p>
      <w:pPr>
        <w:numPr>
          <w:ilvl w:val="0"/>
          <w:numId w:val="1038"/>
        </w:numPr>
      </w:pPr>
      <w:r>
        <w:rPr>
          <w:rFonts w:hint="eastAsia"/>
        </w:rPr>
        <w:t xml:space="preserve">前項にかかわらず、甲又は乙は、相手方が次の各号のいずれかに該当した場合、何らの催告なくして本契約を解除することができる。</w:t>
      </w:r>
    </w:p>
    <w:p>
      <w:pPr>
        <w:pStyle w:val="Compact"/>
        <w:numPr>
          <w:ilvl w:val="0"/>
          <w:numId w:val="1039"/>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39"/>
        </w:numPr>
      </w:pPr>
      <w:r>
        <w:rPr>
          <w:rFonts w:hint="eastAsia"/>
        </w:rPr>
        <w:t xml:space="preserve">手形又は小切手の不渡りを出したとき</w:t>
      </w:r>
    </w:p>
    <w:p>
      <w:pPr>
        <w:pStyle w:val="Compact"/>
        <w:numPr>
          <w:ilvl w:val="0"/>
          <w:numId w:val="1039"/>
        </w:numPr>
      </w:pPr>
      <w:r>
        <w:rPr>
          <w:rFonts w:hint="eastAsia"/>
        </w:rPr>
        <w:t xml:space="preserve">差押え、仮差押え、仮処分、強制執行又は競売の申立てを受けたとき</w:t>
      </w:r>
    </w:p>
    <w:p>
      <w:pPr>
        <w:pStyle w:val="Compact"/>
        <w:numPr>
          <w:ilvl w:val="0"/>
          <w:numId w:val="1039"/>
        </w:numPr>
      </w:pPr>
      <w:r>
        <w:rPr>
          <w:rFonts w:hint="eastAsia"/>
        </w:rPr>
        <w:t xml:space="preserve">解散、合併又は事業の全部若しくは重要な一部の譲渡の決議をしたとき</w:t>
      </w:r>
    </w:p>
    <w:p>
      <w:pPr>
        <w:pStyle w:val="Compact"/>
        <w:numPr>
          <w:ilvl w:val="0"/>
          <w:numId w:val="1039"/>
        </w:numPr>
      </w:pPr>
      <w:r>
        <w:rPr>
          <w:rFonts w:hint="eastAsia"/>
        </w:rPr>
        <w:t xml:space="preserve">その他財産状態が悪化し、又は本契約の継続が困難と認められる相当の事由があるとき</w:t>
      </w:r>
    </w:p>
    <w:p>
      <w:pPr>
        <w:pStyle w:val="Compact"/>
        <w:numPr>
          <w:ilvl w:val="0"/>
          <w:numId w:val="1040"/>
        </w:numPr>
      </w:pPr>
      <w:r>
        <w:rPr>
          <w:rFonts w:hint="eastAsia"/>
        </w:rPr>
        <w:t xml:space="preserve">前2項の解除は、解除した側の損害賠償請求を妨げない。</w:t>
      </w:r>
    </w:p>
    <w:p>
      <w:r>
        <w:pict>
          <v:rect style="width:0;height:1.5pt" o:hralign="center" o:hrstd="t" o:hr="t"/>
        </w:pict>
      </w:r>
    </w:p>
    <w:bookmarkEnd w:id="31"/>
    <w:bookmarkStart w:id="32" w:name="第21条中途解約"/>
    <w:p>
      <w:pPr>
        <w:pStyle w:val="Heading2"/>
      </w:pPr>
      <w:r>
        <w:rPr>
          <w:rFonts w:hint="eastAsia"/>
        </w:rPr>
        <w:t xml:space="preserve">第21条(中途解約)</w:t>
      </w:r>
    </w:p>
    <w:p>
      <w:pPr>
        <w:pStyle w:val="FirstParagraph"/>
      </w:pPr>
      <w:r>
        <w:rPr>
          <w:rFonts w:hint="eastAsia"/>
          <w:b/>
          <w:bCs/>
        </w:rPr>
        <w:t xml:space="preserve">【解説】</w:t>
      </w:r>
      <w:r>
        <w:t xml:space="preserve"> </w:t>
      </w:r>
      <w:r>
        <w:rPr>
          <w:rFonts w:hint="eastAsia"/>
        </w:rPr>
        <w:t xml:space="preserve">長期継続契約の中途解約条項。保守契約は事業継続に関わるため、十分な予告期間(3〜6ヶ月)を設定するのが実務的です。</w:t>
      </w:r>
    </w:p>
    <w:p>
      <w:pPr>
        <w:numPr>
          <w:ilvl w:val="0"/>
          <w:numId w:val="1041"/>
        </w:numPr>
      </w:pPr>
      <w:r>
        <w:rPr>
          <w:rFonts w:hint="eastAsia"/>
        </w:rPr>
        <w:t xml:space="preserve">甲及び乙は、本契約期間中であっても、相手方に対し[3]ヶ月前までに書面又は電磁的方法により予告することにより、本契約を解約することができる。</w:t>
      </w:r>
    </w:p>
    <w:p>
      <w:pPr>
        <w:numPr>
          <w:ilvl w:val="0"/>
          <w:numId w:val="1041"/>
        </w:numPr>
      </w:pPr>
      <w:r>
        <w:rPr>
          <w:rFonts w:hint="eastAsia"/>
        </w:rPr>
        <w:t xml:space="preserve">中途解約による精算は、解約日までの保守料金を甲が乙に支払うことにより行うものとする。</w:t>
      </w:r>
    </w:p>
    <w:p>
      <w:r>
        <w:pict>
          <v:rect style="width:0;height:1.5pt" o:hralign="center" o:hrstd="t" o:hr="t"/>
        </w:pict>
      </w:r>
    </w:p>
    <w:bookmarkEnd w:id="32"/>
    <w:bookmarkStart w:id="33" w:name="第22条不可抗力"/>
    <w:p>
      <w:pPr>
        <w:pStyle w:val="Heading2"/>
      </w:pPr>
      <w:r>
        <w:rPr>
          <w:rFonts w:hint="eastAsia"/>
        </w:rPr>
        <w:t xml:space="preserve">第22条(不可抗力)</w:t>
      </w:r>
    </w:p>
    <w:p>
      <w:pPr>
        <w:pStyle w:val="FirstParagraph"/>
      </w:pPr>
      <w:r>
        <w:rPr>
          <w:rFonts w:hint="eastAsia"/>
          <w:b/>
          <w:bCs/>
        </w:rPr>
        <w:t xml:space="preserve">【解説】</w:t>
      </w:r>
      <w:r>
        <w:t xml:space="preserve"> </w:t>
      </w:r>
      <w:r>
        <w:rPr>
          <w:rFonts w:hint="eastAsia"/>
        </w:rPr>
        <w:t xml:space="preserve">天災・パンデミック・サプライチェーン分断等の不可抗力による契約不履行を免責する条項です。</w:t>
      </w:r>
    </w:p>
    <w:p>
      <w:pPr>
        <w:numPr>
          <w:ilvl w:val="0"/>
          <w:numId w:val="1042"/>
        </w:numPr>
      </w:pPr>
      <w:r>
        <w:rPr>
          <w:rFonts w:hint="eastAsia"/>
        </w:rPr>
        <w:t xml:space="preserve">甲又は乙は、地震、台風、洪水、津波、火災、戦争、暴動、内乱、テロ、感染症の流行、サプライチェーンの分断、法令の制定若しくは改廃、政府機関の命令若しくは処分その他自己の責めに帰さない事由により本契約の履行が遅延又は不能となった場合、これによって相手方に生じた損害について責任を負わないものとする。</w:t>
      </w:r>
    </w:p>
    <w:p>
      <w:pPr>
        <w:numPr>
          <w:ilvl w:val="0"/>
          <w:numId w:val="1042"/>
        </w:numPr>
      </w:pPr>
      <w:r>
        <w:rPr>
          <w:rFonts w:hint="eastAsia"/>
        </w:rPr>
        <w:t xml:space="preserve">前項の事由が発生した当事者は、直ちにその旨を相手方に通知するとともに、影響の最小化に努めるものとする。</w:t>
      </w:r>
    </w:p>
    <w:p>
      <w:r>
        <w:pict>
          <v:rect style="width:0;height:1.5pt" o:hralign="center" o:hrstd="t" o:hr="t"/>
        </w:pict>
      </w:r>
    </w:p>
    <w:bookmarkEnd w:id="33"/>
    <w:bookmarkStart w:id="34" w:name="第23条譲渡禁止"/>
    <w:p>
      <w:pPr>
        <w:pStyle w:val="Heading2"/>
      </w:pPr>
      <w:r>
        <w:rPr>
          <w:rFonts w:hint="eastAsia"/>
        </w:rPr>
        <w:t xml:space="preserve">第23条(譲渡禁止)</w:t>
      </w:r>
    </w:p>
    <w:p>
      <w:pPr>
        <w:pStyle w:val="FirstParagraph"/>
      </w:pPr>
      <w:r>
        <w:rPr>
          <w:rFonts w:hint="eastAsia"/>
          <w:b/>
          <w:bCs/>
        </w:rPr>
        <w:t xml:space="preserve">【解説】</w:t>
      </w:r>
      <w:r>
        <w:t xml:space="preserve"> </w:t>
      </w:r>
      <w:r>
        <w:rPr>
          <w:rFonts w:hint="eastAsia"/>
        </w:rPr>
        <w:t xml:space="preserve">契約上の地位を勝手に第三者へ移転することを禁止します。</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34"/>
    <w:bookmarkStart w:id="35" w:name="第24条契約終了時の措置"/>
    <w:p>
      <w:pPr>
        <w:pStyle w:val="Heading2"/>
      </w:pPr>
      <w:r>
        <w:rPr>
          <w:rFonts w:hint="eastAsia"/>
        </w:rPr>
        <w:t xml:space="preserve">第24条(契約終了時の措置)</w:t>
      </w:r>
    </w:p>
    <w:p>
      <w:pPr>
        <w:pStyle w:val="FirstParagraph"/>
      </w:pPr>
      <w:r>
        <w:rPr>
          <w:rFonts w:hint="eastAsia"/>
          <w:b/>
          <w:bCs/>
        </w:rPr>
        <w:t xml:space="preserve">【解説】</w:t>
      </w:r>
      <w:r>
        <w:t xml:space="preserve"> </w:t>
      </w:r>
      <w:r>
        <w:rPr>
          <w:rFonts w:hint="eastAsia"/>
        </w:rPr>
        <w:t xml:space="preserve">契約終了時の業務引継ぎ・データ返還を定めます。保守は長期継続が多く、引継ぎ義務を明示することで委託者の事業継続性を確保します。</w:t>
      </w:r>
    </w:p>
    <w:p>
      <w:pPr>
        <w:pStyle w:val="Compact"/>
        <w:numPr>
          <w:ilvl w:val="0"/>
          <w:numId w:val="1043"/>
        </w:numPr>
      </w:pPr>
      <w:r>
        <w:rPr>
          <w:rFonts w:hint="eastAsia"/>
        </w:rPr>
        <w:t xml:space="preserve">本契約が終了した場合、乙は次の各号の措置を講じる。</w:t>
      </w:r>
    </w:p>
    <w:p>
      <w:pPr>
        <w:pStyle w:val="Compact"/>
        <w:numPr>
          <w:ilvl w:val="0"/>
          <w:numId w:val="1044"/>
        </w:numPr>
      </w:pPr>
      <w:r>
        <w:rPr>
          <w:rFonts w:hint="eastAsia"/>
        </w:rPr>
        <w:t xml:space="preserve">本対象設備の状態を本契約終了時点で甲に引き継ぐ(必要に応じて引継書を作成)</w:t>
      </w:r>
    </w:p>
    <w:p>
      <w:pPr>
        <w:pStyle w:val="Compact"/>
        <w:numPr>
          <w:ilvl w:val="0"/>
          <w:numId w:val="1044"/>
        </w:numPr>
      </w:pPr>
      <w:r>
        <w:rPr>
          <w:rFonts w:hint="eastAsia"/>
        </w:rPr>
        <w:t xml:space="preserve">本業務に関連して取得した業務資料・データを甲に返還又は破棄</w:t>
      </w:r>
    </w:p>
    <w:p>
      <w:pPr>
        <w:pStyle w:val="Compact"/>
        <w:numPr>
          <w:ilvl w:val="0"/>
          <w:numId w:val="1044"/>
        </w:numPr>
      </w:pPr>
      <w:r>
        <w:rPr>
          <w:rFonts w:hint="eastAsia"/>
        </w:rPr>
        <w:t xml:space="preserve">甲又は甲が指定する後継業者に対し、業務継続に必要な情報の引継ぎ</w:t>
      </w:r>
    </w:p>
    <w:p>
      <w:pPr>
        <w:pStyle w:val="Compact"/>
        <w:numPr>
          <w:ilvl w:val="0"/>
          <w:numId w:val="1044"/>
        </w:numPr>
      </w:pPr>
      <w:r>
        <w:rPr>
          <w:rFonts w:hint="eastAsia"/>
        </w:rPr>
        <w:t xml:space="preserve">本対象設備に乙が貸与した予備品・治具等の引取り</w:t>
      </w:r>
    </w:p>
    <w:p>
      <w:pPr>
        <w:pStyle w:val="Compact"/>
        <w:numPr>
          <w:ilvl w:val="0"/>
          <w:numId w:val="1045"/>
        </w:numPr>
      </w:pPr>
      <w:r>
        <w:rPr>
          <w:rFonts w:hint="eastAsia"/>
        </w:rPr>
        <w:t xml:space="preserve">前項の引継ぎに伴い乙に通常業務を超える作業が発生する場合、甲乙協議の上、別途引継ぎ費用を取り決める。</w:t>
      </w:r>
    </w:p>
    <w:p>
      <w:r>
        <w:pict>
          <v:rect style="width:0;height:1.5pt" o:hralign="center" o:hrstd="t" o:hr="t"/>
        </w:pict>
      </w:r>
    </w:p>
    <w:bookmarkEnd w:id="35"/>
    <w:bookmarkStart w:id="36" w:name="第25条準拠法及び合意管轄"/>
    <w:p>
      <w:pPr>
        <w:pStyle w:val="Heading2"/>
      </w:pPr>
      <w:r>
        <w:rPr>
          <w:rFonts w:hint="eastAsia"/>
        </w:rPr>
        <w:t xml:space="preserve">第25条(準拠法及び合意管轄)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国際取引でなければ日本法準拠が基本です。管轄裁判所は自社本店所在地を指定するのが一般的。</w:t>
      </w:r>
    </w:p>
    <w:p>
      <w:pPr>
        <w:numPr>
          <w:ilvl w:val="0"/>
          <w:numId w:val="1046"/>
        </w:numPr>
      </w:pPr>
      <w:r>
        <w:rPr>
          <w:rFonts w:hint="eastAsia"/>
        </w:rPr>
        <w:t xml:space="preserve">本契約は、日本法に準拠し、日本法に従って解釈されるものとする。</w:t>
      </w:r>
    </w:p>
    <w:p>
      <w:pPr>
        <w:numPr>
          <w:ilvl w:val="0"/>
          <w:numId w:val="1046"/>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6"/>
    <w:bookmarkStart w:id="37" w:name="第26条協議事項"/>
    <w:p>
      <w:pPr>
        <w:pStyle w:val="Heading2"/>
      </w:pPr>
      <w:r>
        <w:rPr>
          <w:rFonts w:hint="eastAsia"/>
        </w:rPr>
        <w:t xml:space="preserve">第26条(協議事項)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7"/>
    <w:bookmarkStart w:id="38"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【甲(委託者)】</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【乙(受託者・保守業者)】</w:t>
      </w:r>
      <w:r>
        <w:t xml:space="preserve"> </w:t>
      </w:r>
      <w:r>
        <w:rPr>
          <w:rFonts w:hint="eastAsia"/>
        </w:rPr>
        <w:t xml:space="preserve">住所:[乙の本店所在地]</w:t>
      </w:r>
      <w:r>
        <w:t xml:space="preserve"> </w:t>
      </w:r>
      <w:r>
        <w:rPr>
          <w:rFonts w:hint="eastAsia"/>
        </w:rPr>
        <w:t xml:space="preserve">名称:[乙の正式名称]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38"/>
    <w:bookmarkStart w:id="43" w:name="別紙必要に応じて添付"/>
    <w:p>
      <w:pPr>
        <w:pStyle w:val="Heading2"/>
      </w:pPr>
      <w:r>
        <w:rPr>
          <w:rFonts w:hint="eastAsia"/>
        </w:rPr>
        <w:t xml:space="preserve">別紙(必要に応じて添付)</w:t>
      </w:r>
    </w:p>
    <w:bookmarkStart w:id="39" w:name="別紙1保守対象設備一覧"/>
    <w:p>
      <w:pPr>
        <w:pStyle w:val="Heading3"/>
      </w:pPr>
      <w:r>
        <w:rPr>
          <w:rFonts w:hint="eastAsia"/>
        </w:rPr>
        <w:t xml:space="preserve">別紙1:保守対象設備一覧</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No.</w:t>
            </w:r>
          </w:p>
        </w:tc>
        <w:tc>
          <w:tcPr/>
          <w:p>
            <w:pPr>
              <w:pStyle w:val="Compact"/>
            </w:pPr>
            <w:r>
              <w:rPr>
                <w:rFonts w:hint="eastAsia"/>
              </w:rPr>
              <w:t xml:space="preserve">品名</w:t>
            </w:r>
          </w:p>
        </w:tc>
        <w:tc>
          <w:tcPr/>
          <w:p>
            <w:pPr>
              <w:pStyle w:val="Compact"/>
            </w:pPr>
            <w:r>
              <w:rPr>
                <w:rFonts w:hint="eastAsia"/>
              </w:rPr>
              <w:t xml:space="preserve">型番</w:t>
            </w:r>
          </w:p>
        </w:tc>
        <w:tc>
          <w:tcPr/>
          <w:p>
            <w:pPr>
              <w:pStyle w:val="Compact"/>
            </w:pPr>
            <w:r>
              <w:rPr>
                <w:rFonts w:hint="eastAsia"/>
              </w:rPr>
              <w:t xml:space="preserve">製造番号</w:t>
            </w:r>
          </w:p>
        </w:tc>
        <w:tc>
          <w:tcPr/>
          <w:p>
            <w:pPr>
              <w:pStyle w:val="Compact"/>
            </w:pPr>
            <w:r>
              <w:rPr>
                <w:rFonts w:hint="eastAsia"/>
              </w:rPr>
              <w:t xml:space="preserve">設置場所</w:t>
            </w:r>
          </w:p>
        </w:tc>
        <w:tc>
          <w:tcPr/>
          <w:p>
            <w:pPr>
              <w:pStyle w:val="Compact"/>
            </w:pPr>
            <w:r>
              <w:rPr>
                <w:rFonts w:hint="eastAsia"/>
              </w:rPr>
              <w:t xml:space="preserve">台数</w:t>
            </w:r>
          </w:p>
        </w:tc>
        <w:tc>
          <w:tcPr/>
          <w:p>
            <w:pPr>
              <w:pStyle w:val="Compact"/>
            </w:pPr>
            <w:r>
              <w:rPr>
                <w:rFonts w:hint="eastAsia"/>
              </w:rPr>
              <w:t xml:space="preserve">製造年月</w:t>
            </w:r>
          </w:p>
        </w:tc>
      </w:tr>
      <w:tr>
        <w:tc>
          <w:tcPr/>
          <w:p>
            <w:pPr>
              <w:pStyle w:val="Compact"/>
            </w:pPr>
            <w:r>
              <w:t xml:space="preserve">1</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2</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39"/>
    <w:bookmarkStart w:id="40" w:name="別紙2点検項目"/>
    <w:p>
      <w:pPr>
        <w:pStyle w:val="Heading3"/>
      </w:pPr>
      <w:r>
        <w:rPr>
          <w:rFonts w:hint="eastAsia"/>
        </w:rPr>
        <w:t xml:space="preserve">別紙2:点検項目</w:t>
      </w:r>
    </w:p>
    <w:p>
      <w:pPr>
        <w:pStyle w:val="FirstParagraph"/>
      </w:pPr>
      <w:r>
        <w:rPr>
          <w:rFonts w:hint="eastAsia"/>
        </w:rPr>
        <w:t xml:space="preserve">[点検項目を具体的に記載]</w:t>
      </w:r>
      <w:r>
        <w:t xml:space="preserve"> </w:t>
      </w:r>
      <w:r>
        <w:t xml:space="preserve">- </w:t>
      </w:r>
      <w:r>
        <w:rPr>
          <w:rFonts w:hint="eastAsia"/>
        </w:rPr>
        <w:t xml:space="preserve">外観チェック</w:t>
      </w:r>
      <w:r>
        <w:t xml:space="preserve"> </w:t>
      </w:r>
      <w:r>
        <w:t xml:space="preserve">- </w:t>
      </w:r>
      <w:r>
        <w:rPr>
          <w:rFonts w:hint="eastAsia"/>
        </w:rPr>
        <w:t xml:space="preserve">動作確認</w:t>
      </w:r>
      <w:r>
        <w:t xml:space="preserve"> </w:t>
      </w:r>
      <w:r>
        <w:t xml:space="preserve">- </w:t>
      </w:r>
      <w:r>
        <w:rPr>
          <w:rFonts w:hint="eastAsia"/>
        </w:rPr>
        <w:t xml:space="preserve">消耗品の磨耗状況確認</w:t>
      </w:r>
      <w:r>
        <w:t xml:space="preserve"> </w:t>
      </w:r>
      <w:r>
        <w:t xml:space="preserve">- </w:t>
      </w:r>
      <w:r>
        <w:rPr>
          <w:rFonts w:hint="eastAsia"/>
        </w:rPr>
        <w:t xml:space="preserve">安全装置の点検</w:t>
      </w:r>
      <w:r>
        <w:t xml:space="preserve"> </w:t>
      </w:r>
      <w:r>
        <w:t xml:space="preserve">- </w:t>
      </w:r>
      <w:r>
        <w:rPr>
          <w:rFonts w:hint="eastAsia"/>
        </w:rPr>
        <w:t xml:space="preserve">その他類型に応じた項目</w:t>
      </w:r>
    </w:p>
    <w:bookmarkEnd w:id="40"/>
    <w:bookmarkStart w:id="41" w:name="別紙3無償交換対象部品一覧"/>
    <w:p>
      <w:pPr>
        <w:pStyle w:val="Heading3"/>
      </w:pPr>
      <w:r>
        <w:rPr>
          <w:rFonts w:hint="eastAsia"/>
        </w:rPr>
        <w:t xml:space="preserve">別紙3:無償交換対象部品一覧</w:t>
      </w:r>
    </w:p>
    <w:p>
      <w:pPr>
        <w:pStyle w:val="FirstParagraph"/>
      </w:pPr>
      <w:r>
        <w:rPr>
          <w:rFonts w:hint="eastAsia"/>
        </w:rPr>
        <w:t xml:space="preserve">[本基本料金に含めて無償交換する部品を記載]</w:t>
      </w:r>
    </w:p>
    <w:bookmarkEnd w:id="41"/>
    <w:bookmarkStart w:id="42" w:name="別紙4無償出張エリア"/>
    <w:p>
      <w:pPr>
        <w:pStyle w:val="Heading3"/>
      </w:pPr>
      <w:r>
        <w:rPr>
          <w:rFonts w:hint="eastAsia"/>
        </w:rPr>
        <w:t xml:space="preserve">別紙4:無償出張エリア</w:t>
      </w:r>
    </w:p>
    <w:p>
      <w:pPr>
        <w:pStyle w:val="FirstParagraph"/>
      </w:pPr>
      <w:r>
        <w:rPr>
          <w:rFonts w:hint="eastAsia"/>
        </w:rPr>
        <w:t xml:space="preserve">[本基本料金に含めて無償で出張対応するエリアを記載]</w:t>
      </w:r>
    </w:p>
    <w:p>
      <w:r>
        <w:pict>
          <v:rect style="width:0;height:1.5pt" o:hralign="center" o:hrstd="t" o:hr="t"/>
        </w:pict>
      </w:r>
    </w:p>
    <w:bookmarkEnd w:id="42"/>
    <w:bookmarkEnd w:id="43"/>
    <w:bookmarkStart w:id="47" w:name="印紙税について"/>
    <w:p>
      <w:pPr>
        <w:pStyle w:val="Heading2"/>
      </w:pPr>
      <w:r>
        <w:rPr>
          <w:rFonts w:hint="eastAsia"/>
        </w:rPr>
        <w:t xml:space="preserve">印紙税について</w:t>
      </w:r>
    </w:p>
    <w:p>
      <w:pPr>
        <w:pStyle w:val="FirstParagraph"/>
      </w:pPr>
      <w:r>
        <w:rPr>
          <w:rFonts w:hint="eastAsia"/>
        </w:rPr>
        <w:t xml:space="preserve">保守契約書の印紙税は、</w:t>
      </w:r>
      <w:r>
        <w:rPr>
          <w:rFonts w:hint="eastAsia"/>
          <w:b/>
          <w:bCs/>
        </w:rPr>
        <w:t xml:space="preserve">契約の性質によって判定が異なります</w:t>
      </w:r>
      <w:r>
        <w:t xml:space="preserve">。</w:t>
      </w:r>
    </w:p>
    <w:bookmarkStart w:id="44" w:name="印紙税の判定マトリクス"/>
    <w:p>
      <w:pPr>
        <w:pStyle w:val="Heading3"/>
      </w:pPr>
      <w:r>
        <w:rPr>
          <w:rFonts w:hint="eastAsia"/>
        </w:rPr>
        <w:t xml:space="preserve">印紙税の判定マトリクス</w:t>
      </w:r>
    </w:p>
    <w:tbl>
      <w:tblPr>
        <w:tblStyle w:val="Table"/>
        <w:tblW w:type="pct" w:w="5000"/>
        <w:tblLayout w:type="fixed"/>
        <w:tblLook w:firstRow="1" w:lastRow="0" w:firstColumn="0" w:lastColumn="0" w:noHBand="0" w:noVBand="0" w:val="0020"/>
      </w:tblPr>
      <w:tblGrid>
        <w:gridCol w:w="2640"/>
        <w:gridCol w:w="3520"/>
        <w:gridCol w:w="1760"/>
      </w:tblGrid>
      <w:tr>
        <w:trPr>
          <w:tblHeader w:val="on"/>
        </w:trPr>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継続的取引基本契約(基本契約として複数年・複数案件を包括)</w:t>
            </w:r>
          </w:p>
        </w:tc>
        <w:tc>
          <w:tcPr/>
          <w:p>
            <w:pPr>
              <w:pStyle w:val="Compact"/>
            </w:pPr>
            <w:r>
              <w:rPr>
                <w:rFonts w:hint="eastAsia"/>
              </w:rPr>
              <w:t xml:space="preserve">第7号文書</w:t>
            </w:r>
          </w:p>
        </w:tc>
        <w:tc>
          <w:tcPr/>
          <w:p>
            <w:pPr>
              <w:pStyle w:val="Compact"/>
            </w:pPr>
            <w:r>
              <w:rPr>
                <w:rFonts w:hint="eastAsia"/>
                <w:b/>
                <w:bCs/>
              </w:rPr>
              <w:t xml:space="preserve">4,000円</w:t>
            </w:r>
          </w:p>
        </w:tc>
      </w:tr>
      <w:tr>
        <w:tc>
          <w:tcPr/>
          <w:p>
            <w:pPr>
              <w:pStyle w:val="Compact"/>
            </w:pPr>
            <w:r>
              <w:rPr>
                <w:rFonts w:hint="eastAsia"/>
                <w:b/>
                <w:bCs/>
              </w:rPr>
              <w:t xml:space="preserve">個別の請負契約(成果物の納品が中心)</w:t>
            </w:r>
          </w:p>
        </w:tc>
        <w:tc>
          <w:tcPr/>
          <w:p>
            <w:pPr>
              <w:pStyle w:val="Compact"/>
            </w:pPr>
            <w:r>
              <w:rPr>
                <w:rFonts w:hint="eastAsia"/>
              </w:rPr>
              <w:t xml:space="preserve">第2号文書</w:t>
            </w:r>
          </w:p>
        </w:tc>
        <w:tc>
          <w:tcPr/>
          <w:p>
            <w:pPr>
              <w:pStyle w:val="Compact"/>
            </w:pPr>
            <w:r>
              <w:rPr>
                <w:rFonts w:hint="eastAsia"/>
              </w:rPr>
              <w:t xml:space="preserve">契約金額に応じて200円〜</w:t>
            </w:r>
          </w:p>
        </w:tc>
      </w:tr>
      <w:tr>
        <w:tc>
          <w:tcPr/>
          <w:p>
            <w:pPr>
              <w:pStyle w:val="Compact"/>
            </w:pPr>
            <w:r>
              <w:rPr>
                <w:rFonts w:hint="eastAsia"/>
                <w:b/>
                <w:bCs/>
              </w:rPr>
              <w:t xml:space="preserve">準委任型(業務遂行型・月次保守等)</w:t>
            </w:r>
          </w:p>
        </w:tc>
        <w:tc>
          <w:tcPr/>
          <w:p>
            <w:pPr>
              <w:pStyle w:val="Compact"/>
            </w:pPr>
            <w:r>
              <w:rPr>
                <w:rFonts w:hint="eastAsia"/>
              </w:rPr>
              <w:t xml:space="preserve">原則非課税</w:t>
            </w:r>
          </w:p>
        </w:tc>
        <w:tc>
          <w:tcPr/>
          <w:p>
            <w:pPr>
              <w:pStyle w:val="Compact"/>
            </w:pPr>
            <w:r>
              <w:rPr>
                <w:rFonts w:hint="eastAsia"/>
                <w:b/>
                <w:bCs/>
              </w:rPr>
              <w:t xml:space="preserve">0円</w:t>
            </w:r>
          </w:p>
        </w:tc>
      </w:tr>
    </w:tbl>
    <w:bookmarkEnd w:id="44"/>
    <w:bookmarkStart w:id="45" w:name="第2号文書請負契約書の印紙税額参考"/>
    <w:p>
      <w:pPr>
        <w:pStyle w:val="Heading3"/>
      </w:pPr>
      <w:r>
        <w:rPr>
          <w:rFonts w:hint="eastAsia"/>
        </w:rPr>
        <w:t xml:space="preserve">第2号文書(請負契約書)の印紙税額(参考)</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200円</w:t>
            </w:r>
          </w:p>
        </w:tc>
      </w:tr>
      <w:tr>
        <w:tc>
          <w:tcPr/>
          <w:p>
            <w:pPr>
              <w:pStyle w:val="Compact"/>
            </w:pPr>
            <w:r>
              <w:rPr>
                <w:rFonts w:hint="eastAsia"/>
              </w:rPr>
              <w:t xml:space="preserve">500万円以下</w:t>
            </w:r>
          </w:p>
        </w:tc>
        <w:tc>
          <w:tcPr/>
          <w:p>
            <w:pPr>
              <w:pStyle w:val="Compact"/>
            </w:pPr>
            <w:r>
              <w:rPr>
                <w:rFonts w:hint="eastAsia"/>
              </w:rPr>
              <w:t xml:space="preserve">2,000円</w:t>
            </w:r>
          </w:p>
        </w:tc>
      </w:tr>
      <w:tr>
        <w:tc>
          <w:tcPr/>
          <w:p>
            <w:pPr>
              <w:pStyle w:val="Compact"/>
            </w:pPr>
            <w:r>
              <w:rPr>
                <w:rFonts w:hint="eastAsia"/>
              </w:rPr>
              <w:t xml:space="preserve">1,000万円以下</w:t>
            </w:r>
          </w:p>
        </w:tc>
        <w:tc>
          <w:tcPr/>
          <w:p>
            <w:pPr>
              <w:pStyle w:val="Compact"/>
            </w:pPr>
            <w:r>
              <w:rPr>
                <w:rFonts w:hint="eastAsia"/>
              </w:rPr>
              <w:t xml:space="preserve">10,000円</w:t>
            </w:r>
          </w:p>
        </w:tc>
      </w:tr>
      <w:tr>
        <w:tc>
          <w:tcPr/>
          <w:p>
            <w:pPr>
              <w:pStyle w:val="Compact"/>
            </w:pPr>
            <w:r>
              <w:rPr>
                <w:rFonts w:hint="eastAsia"/>
              </w:rPr>
              <w:t xml:space="preserve">5,000万円以下</w:t>
            </w:r>
          </w:p>
        </w:tc>
        <w:tc>
          <w:tcPr/>
          <w:p>
            <w:pPr>
              <w:pStyle w:val="Compact"/>
            </w:pPr>
            <w:r>
              <w:rPr>
                <w:rFonts w:hint="eastAsia"/>
              </w:rPr>
              <w:t xml:space="preserve">20,000円</w:t>
            </w:r>
          </w:p>
        </w:tc>
      </w:tr>
      <w:tr>
        <w:tc>
          <w:tcPr/>
          <w:p>
            <w:pPr>
              <w:pStyle w:val="Compact"/>
            </w:pPr>
            <w:r>
              <w:rPr>
                <w:rFonts w:hint="eastAsia"/>
              </w:rPr>
              <w:t xml:space="preserve">1億円以下</w:t>
            </w:r>
          </w:p>
        </w:tc>
        <w:tc>
          <w:tcPr/>
          <w:p>
            <w:pPr>
              <w:pStyle w:val="Compact"/>
            </w:pPr>
            <w:r>
              <w:rPr>
                <w:rFonts w:hint="eastAsia"/>
              </w:rPr>
              <w:t xml:space="preserve">60,000円</w:t>
            </w:r>
          </w:p>
        </w:tc>
      </w:tr>
    </w:tbl>
    <w:bookmarkEnd w:id="45"/>
    <w:bookmarkStart w:id="46"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いずれの契約類型でも、電子契約サービスを利用して締結する場合は、印紙税は発生しません</w:t>
      </w:r>
      <w:r>
        <w:rPr>
          <w:rFonts w:hint="eastAsia"/>
        </w:rPr>
        <w:t xml:space="preserve">。国税庁の見解では、電子契約は印紙税法上の課税文書に該当しないとされています。</w:t>
      </w:r>
    </w:p>
    <w:p>
      <w:pPr>
        <w:pStyle w:val="Compact"/>
        <w:numPr>
          <w:ilvl w:val="0"/>
          <w:numId w:val="1047"/>
        </w:numPr>
      </w:pPr>
      <w:r>
        <w:rPr>
          <w:rFonts w:hint="eastAsia"/>
        </w:rPr>
        <w:t xml:space="preserve">継続取引基本契約</w:t>
      </w:r>
      <w:r>
        <w:t xml:space="preserve"> → </w:t>
      </w:r>
      <w:r>
        <w:rPr>
          <w:rFonts w:hint="eastAsia"/>
        </w:rPr>
        <w:t xml:space="preserve">紙だと4,000円、電子なら0円</w:t>
      </w:r>
    </w:p>
    <w:p>
      <w:pPr>
        <w:pStyle w:val="Compact"/>
        <w:numPr>
          <w:ilvl w:val="0"/>
          <w:numId w:val="1047"/>
        </w:numPr>
      </w:pPr>
      <w:r>
        <w:rPr>
          <w:rFonts w:hint="eastAsia"/>
        </w:rPr>
        <w:t xml:space="preserve">個別請負</w:t>
      </w:r>
      <w:r>
        <w:t xml:space="preserve"> → </w:t>
      </w:r>
      <w:r>
        <w:rPr>
          <w:rFonts w:hint="eastAsia"/>
        </w:rPr>
        <w:t xml:space="preserve">紙だと数百円〜数十万円、電子なら0円</w:t>
      </w:r>
    </w:p>
    <w:p>
      <w:pPr>
        <w:pStyle w:val="FirstParagraph"/>
      </w:pPr>
      <w:r>
        <w:rPr>
          <w:rFonts w:hint="eastAsia"/>
        </w:rPr>
        <w:t xml:space="preserve">保守契約は長期継続することが多く、複数年契約・複数物件契約を電子化することで、累積節税効果が大きくなります。</w:t>
      </w:r>
    </w:p>
    <w:p>
      <w:pPr>
        <w:pStyle w:val="BodyText"/>
      </w:pPr>
      <w:r>
        <w:rPr>
          <w:rFonts w:hint="eastAsia"/>
        </w:rPr>
        <w:t xml:space="preserve">(具体的な税務判断は税理士にご相談ください。)</w:t>
      </w:r>
    </w:p>
    <w:p>
      <w:r>
        <w:pict>
          <v:rect style="width:0;height:1.5pt" o:hralign="center" o:hrstd="t" o:hr="t"/>
        </w:pict>
      </w:r>
    </w:p>
    <w:bookmarkEnd w:id="46"/>
    <w:bookmarkEnd w:id="47"/>
    <w:bookmarkStart w:id="48"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本契約は、電子署名法に基づく電子契約サービスでの締結が可能です。保守契約特有のメリット:</w:t>
      </w:r>
    </w:p>
    <w:p>
      <w:pPr>
        <w:pStyle w:val="Compact"/>
        <w:numPr>
          <w:ilvl w:val="0"/>
          <w:numId w:val="1048"/>
        </w:numPr>
      </w:pPr>
      <w:r>
        <w:rPr>
          <w:rFonts w:hint="eastAsia"/>
          <w:b/>
          <w:bCs/>
        </w:rPr>
        <w:t xml:space="preserve">印紙税ゼロ</w:t>
      </w:r>
      <w:r>
        <w:rPr>
          <w:rFonts w:hint="eastAsia"/>
        </w:rPr>
        <w:t xml:space="preserve">(複数年契約・継続取引基本契約での節税効果大)</w:t>
      </w:r>
    </w:p>
    <w:p>
      <w:pPr>
        <w:pStyle w:val="Compact"/>
        <w:numPr>
          <w:ilvl w:val="0"/>
          <w:numId w:val="1048"/>
        </w:numPr>
      </w:pPr>
      <w:r>
        <w:rPr>
          <w:rFonts w:hint="eastAsia"/>
          <w:b/>
          <w:bCs/>
        </w:rPr>
        <w:t xml:space="preserve">印刷・郵送・押印の手間が不要</w:t>
      </w:r>
    </w:p>
    <w:p>
      <w:pPr>
        <w:pStyle w:val="Compact"/>
        <w:numPr>
          <w:ilvl w:val="0"/>
          <w:numId w:val="1048"/>
        </w:numPr>
      </w:pPr>
      <w:r>
        <w:rPr>
          <w:rFonts w:hint="eastAsia"/>
          <w:b/>
          <w:bCs/>
        </w:rPr>
        <w:t xml:space="preserve">締結スピードが最短数時間</w:t>
      </w:r>
      <w:r>
        <w:rPr>
          <w:rFonts w:hint="eastAsia"/>
        </w:rPr>
        <w:t xml:space="preserve">に短縮</w:t>
      </w:r>
    </w:p>
    <w:p>
      <w:pPr>
        <w:pStyle w:val="Compact"/>
        <w:numPr>
          <w:ilvl w:val="0"/>
          <w:numId w:val="1048"/>
        </w:numPr>
      </w:pPr>
      <w:r>
        <w:rPr>
          <w:rFonts w:hint="eastAsia"/>
          <w:b/>
          <w:bCs/>
        </w:rPr>
        <w:t xml:space="preserve">改ざん検知</w:t>
      </w:r>
      <w:r>
        <w:rPr>
          <w:rFonts w:hint="eastAsia"/>
        </w:rPr>
        <w:t xml:space="preserve">(タイムスタンプ・電子署名による)</w:t>
      </w:r>
    </w:p>
    <w:p>
      <w:pPr>
        <w:pStyle w:val="Compact"/>
        <w:numPr>
          <w:ilvl w:val="0"/>
          <w:numId w:val="1048"/>
        </w:numPr>
      </w:pPr>
      <w:r>
        <w:rPr>
          <w:rFonts w:hint="eastAsia"/>
          <w:b/>
          <w:bCs/>
        </w:rPr>
        <w:t xml:space="preserve">電子帳簿保存法の保存要件</w:t>
      </w:r>
      <w:r>
        <w:rPr>
          <w:rFonts w:hint="eastAsia"/>
        </w:rPr>
        <w:t xml:space="preserve">に自動対応</w:t>
      </w:r>
    </w:p>
    <w:p>
      <w:pPr>
        <w:pStyle w:val="Compact"/>
        <w:numPr>
          <w:ilvl w:val="0"/>
          <w:numId w:val="1048"/>
        </w:numPr>
      </w:pPr>
      <w:r>
        <w:rPr>
          <w:rFonts w:hint="eastAsia"/>
          <w:b/>
          <w:bCs/>
        </w:rPr>
        <w:t xml:space="preserve">長期契約の期限管理が容易</w:t>
      </w:r>
      <w:r>
        <w:rPr>
          <w:rFonts w:hint="eastAsia"/>
        </w:rPr>
        <w:t xml:space="preserve">(自動更新・満了アラート機能との連携)</w:t>
      </w:r>
    </w:p>
    <w:p>
      <w:pPr>
        <w:pStyle w:val="Compact"/>
        <w:numPr>
          <w:ilvl w:val="0"/>
          <w:numId w:val="1048"/>
        </w:numPr>
      </w:pPr>
      <w:r>
        <w:rPr>
          <w:rFonts w:hint="eastAsia"/>
          <w:b/>
          <w:bCs/>
        </w:rPr>
        <w:t xml:space="preserve">クラウドで一元管理</w:t>
      </w:r>
      <w:r>
        <w:rPr>
          <w:rFonts w:hint="eastAsia"/>
        </w:rPr>
        <w:t xml:space="preserve">(顧客別・設備別・期間別の検索性)</w:t>
      </w:r>
    </w:p>
    <w:p>
      <w:pPr>
        <w:pStyle w:val="Compact"/>
        <w:numPr>
          <w:ilvl w:val="0"/>
          <w:numId w:val="1048"/>
        </w:numPr>
      </w:pPr>
      <w:r>
        <w:rPr>
          <w:rFonts w:hint="eastAsia"/>
          <w:b/>
          <w:bCs/>
        </w:rPr>
        <w:t xml:space="preserve">多拠点・多設備の契約も統一管理</w:t>
      </w:r>
    </w:p>
    <w:p>
      <w:r>
        <w:pict>
          <v:rect style="width:0;height:1.5pt" o:hralign="center" o:hrstd="t" o:hr="t"/>
        </w:pict>
      </w:r>
    </w:p>
    <w:bookmarkEnd w:id="48"/>
    <w:bookmarkStart w:id="57"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※本テンプレートは弁護士監修ですが、個別案件に応じた修正が必要です。重要な契約は弁護士にご相談ください。</w:t>
      </w:r>
    </w:p>
    <w:bookmarkStart w:id="52" w:name="類型機械システム建物の調整"/>
    <w:p>
      <w:pPr>
        <w:pStyle w:val="Heading3"/>
      </w:pPr>
      <w:r>
        <w:rPr>
          <w:rFonts w:hint="eastAsia"/>
        </w:rPr>
        <w:t xml:space="preserve">3類型(機械・システム・建物)の調整</w:t>
      </w:r>
    </w:p>
    <w:p>
      <w:pPr>
        <w:pStyle w:val="FirstParagraph"/>
      </w:pPr>
      <w:r>
        <w:rPr>
          <w:rFonts w:hint="eastAsia"/>
        </w:rPr>
        <w:t xml:space="preserve">本テンプレは</w:t>
      </w:r>
      <w:r>
        <w:rPr>
          <w:rFonts w:hint="eastAsia"/>
          <w:b/>
          <w:bCs/>
        </w:rPr>
        <w:t xml:space="preserve">機械保守・システム保守・建物保守の3類型に対応できる汎用設計</w:t>
      </w:r>
      <w:r>
        <w:rPr>
          <w:rFonts w:hint="eastAsia"/>
        </w:rPr>
        <w:t xml:space="preserve">としていますが、それぞれ次のように補強・カスタマイズしてください。</w:t>
      </w:r>
    </w:p>
    <w:bookmarkStart w:id="49" w:name="機械保守の場合"/>
    <w:p>
      <w:pPr>
        <w:pStyle w:val="Heading4"/>
      </w:pPr>
      <w:r>
        <w:rPr>
          <w:rFonts w:hint="eastAsia"/>
        </w:rPr>
        <w:t xml:space="preserve">機械保守の場合</w:t>
      </w:r>
    </w:p>
    <w:p>
      <w:pPr>
        <w:pStyle w:val="Compact"/>
        <w:numPr>
          <w:ilvl w:val="0"/>
          <w:numId w:val="1049"/>
        </w:numPr>
      </w:pPr>
      <w:r>
        <w:rPr>
          <w:rFonts w:hint="eastAsia"/>
        </w:rPr>
        <w:t xml:space="preserve">第4条に「定期点検」「予防保守」「部品交換」の具体的内容を追加</w:t>
      </w:r>
    </w:p>
    <w:p>
      <w:pPr>
        <w:pStyle w:val="Compact"/>
        <w:numPr>
          <w:ilvl w:val="0"/>
          <w:numId w:val="1049"/>
        </w:numPr>
      </w:pPr>
      <w:r>
        <w:rPr>
          <w:rFonts w:hint="eastAsia"/>
        </w:rPr>
        <w:t xml:space="preserve">別紙2「点検項目」を機械固有の項目で詳細化</w:t>
      </w:r>
    </w:p>
    <w:p>
      <w:pPr>
        <w:pStyle w:val="Compact"/>
        <w:numPr>
          <w:ilvl w:val="0"/>
          <w:numId w:val="1049"/>
        </w:numPr>
      </w:pPr>
      <w:r>
        <w:rPr>
          <w:rFonts w:hint="eastAsia"/>
        </w:rPr>
        <w:t xml:space="preserve">メーカー保証期間との関係を整理する条項を追加検討</w:t>
      </w:r>
    </w:p>
    <w:bookmarkEnd w:id="49"/>
    <w:bookmarkStart w:id="50" w:name="システム保守の場合"/>
    <w:p>
      <w:pPr>
        <w:pStyle w:val="Heading4"/>
      </w:pPr>
      <w:r>
        <w:rPr>
          <w:rFonts w:hint="eastAsia"/>
        </w:rPr>
        <w:t xml:space="preserve">システム保守の場合</w:t>
      </w:r>
    </w:p>
    <w:p>
      <w:pPr>
        <w:pStyle w:val="Compact"/>
        <w:numPr>
          <w:ilvl w:val="0"/>
          <w:numId w:val="1050"/>
        </w:numPr>
      </w:pPr>
      <w:r>
        <w:rPr>
          <w:rFonts w:hint="eastAsia"/>
        </w:rPr>
        <w:t xml:space="preserve">第5条のSLAを「稼働率保証(○%以上)」を含めた設計に変更</w:t>
      </w:r>
    </w:p>
    <w:p>
      <w:pPr>
        <w:pStyle w:val="Compact"/>
        <w:numPr>
          <w:ilvl w:val="0"/>
          <w:numId w:val="1050"/>
        </w:numPr>
      </w:pPr>
      <w:r>
        <w:rPr>
          <w:rFonts w:hint="eastAsia"/>
        </w:rPr>
        <w:t xml:space="preserve">「バージョンアップ・パッチ適用」の取扱いを規定</w:t>
      </w:r>
    </w:p>
    <w:p>
      <w:pPr>
        <w:pStyle w:val="Compact"/>
        <w:numPr>
          <w:ilvl w:val="0"/>
          <w:numId w:val="1050"/>
        </w:numPr>
      </w:pPr>
      <w:r>
        <w:rPr>
          <w:rFonts w:hint="eastAsia"/>
        </w:rPr>
        <w:t xml:space="preserve">セキュリティ脆弱性対応・データバックアップに関する条項を追加</w:t>
      </w:r>
    </w:p>
    <w:p>
      <w:pPr>
        <w:pStyle w:val="Compact"/>
        <w:numPr>
          <w:ilvl w:val="0"/>
          <w:numId w:val="1050"/>
        </w:numPr>
      </w:pPr>
      <w:r>
        <w:rPr>
          <w:rFonts w:hint="eastAsia"/>
        </w:rPr>
        <w:t xml:space="preserve">リモート保守の場合のアクセス権限・セキュリティ要件を規定</w:t>
      </w:r>
    </w:p>
    <w:bookmarkEnd w:id="50"/>
    <w:bookmarkStart w:id="51" w:name="建物保守の場合"/>
    <w:p>
      <w:pPr>
        <w:pStyle w:val="Heading4"/>
      </w:pPr>
      <w:r>
        <w:rPr>
          <w:rFonts w:hint="eastAsia"/>
        </w:rPr>
        <w:t xml:space="preserve">建物保守の場合</w:t>
      </w:r>
    </w:p>
    <w:p>
      <w:pPr>
        <w:pStyle w:val="Compact"/>
        <w:numPr>
          <w:ilvl w:val="0"/>
          <w:numId w:val="1051"/>
        </w:numPr>
      </w:pPr>
      <w:r>
        <w:rPr>
          <w:rFonts w:hint="eastAsia"/>
        </w:rPr>
        <w:t xml:space="preserve">法定点検(建築物環境衛生管理法・消防法等)への対応を明示</w:t>
      </w:r>
    </w:p>
    <w:p>
      <w:pPr>
        <w:pStyle w:val="Compact"/>
        <w:numPr>
          <w:ilvl w:val="0"/>
          <w:numId w:val="1051"/>
        </w:numPr>
      </w:pPr>
      <w:r>
        <w:rPr>
          <w:rFonts w:hint="eastAsia"/>
        </w:rPr>
        <w:t xml:space="preserve">設備別(空調・電気・給排水・エレベーター等)の保守内容を別紙化</w:t>
      </w:r>
    </w:p>
    <w:p>
      <w:pPr>
        <w:pStyle w:val="Compact"/>
        <w:numPr>
          <w:ilvl w:val="0"/>
          <w:numId w:val="1051"/>
        </w:numPr>
      </w:pPr>
      <w:r>
        <w:rPr>
          <w:rFonts w:hint="eastAsia"/>
        </w:rPr>
        <w:t xml:space="preserve">緊急対応(漏水・電気トラブル等)の手順を具体化</w:t>
      </w:r>
    </w:p>
    <w:p>
      <w:pPr>
        <w:pStyle w:val="Compact"/>
        <w:numPr>
          <w:ilvl w:val="0"/>
          <w:numId w:val="1051"/>
        </w:numPr>
      </w:pPr>
      <w:r>
        <w:rPr>
          <w:rFonts w:hint="eastAsia"/>
        </w:rPr>
        <w:t xml:space="preserve">賠償責任保険加入の義務を追加検討</w:t>
      </w:r>
    </w:p>
    <w:bookmarkEnd w:id="51"/>
    <w:bookmarkEnd w:id="52"/>
    <w:bookmarkStart w:id="53" w:name="sla設計のポイント"/>
    <w:p>
      <w:pPr>
        <w:pStyle w:val="Heading3"/>
      </w:pPr>
      <w:r>
        <w:rPr>
          <w:rFonts w:hint="eastAsia"/>
        </w:rPr>
        <w:t xml:space="preserve">SLA設計のポイント</w:t>
      </w:r>
    </w:p>
    <w:p>
      <w:pPr>
        <w:pStyle w:val="Compact"/>
        <w:numPr>
          <w:ilvl w:val="0"/>
          <w:numId w:val="1052"/>
        </w:numPr>
      </w:pPr>
      <w:r>
        <w:rPr>
          <w:rFonts w:hint="eastAsia"/>
        </w:rPr>
        <w:t xml:space="preserve">第5条のSLA(応答時間・対応開始時間)は、</w:t>
      </w:r>
      <w:r>
        <w:rPr>
          <w:rFonts w:hint="eastAsia"/>
          <w:b/>
          <w:bCs/>
        </w:rPr>
        <w:t xml:space="preserve">受託者の実態に合った現実的な水準</w:t>
      </w:r>
      <w:r>
        <w:rPr>
          <w:rFonts w:hint="eastAsia"/>
        </w:rPr>
        <w:t xml:space="preserve">に設定してください。過度に厳格なSLAは履行困難になります。</w:t>
      </w:r>
    </w:p>
    <w:p>
      <w:pPr>
        <w:pStyle w:val="Compact"/>
        <w:numPr>
          <w:ilvl w:val="0"/>
          <w:numId w:val="1052"/>
        </w:numPr>
      </w:pPr>
      <w:r>
        <w:rPr>
          <w:rFonts w:hint="eastAsia"/>
        </w:rPr>
        <w:t xml:space="preserve">24時間365日対応を約束する場合は、夜間・休日要員の体制が必要です。基本料金とは別に緊急対応料金を設定するのが現実的です。</w:t>
      </w:r>
    </w:p>
    <w:p>
      <w:pPr>
        <w:pStyle w:val="Compact"/>
        <w:numPr>
          <w:ilvl w:val="0"/>
          <w:numId w:val="1052"/>
        </w:numPr>
      </w:pPr>
      <w:r>
        <w:rPr>
          <w:rFonts w:hint="eastAsia"/>
        </w:rPr>
        <w:t xml:space="preserve">稼働率保証を含める場合、99%(月間約7時間以内の障害許容)が現実的な始点です。99.9%は月間約43分しか許容しないため、達成困難な場合があります。</w:t>
      </w:r>
    </w:p>
    <w:bookmarkEnd w:id="53"/>
    <w:bookmarkStart w:id="54" w:name="部品代出張費の設計"/>
    <w:p>
      <w:pPr>
        <w:pStyle w:val="Heading3"/>
      </w:pPr>
      <w:r>
        <w:rPr>
          <w:rFonts w:hint="eastAsia"/>
        </w:rPr>
        <w:t xml:space="preserve">部品代・出張費の設計</w:t>
      </w:r>
    </w:p>
    <w:p>
      <w:pPr>
        <w:pStyle w:val="Compact"/>
        <w:numPr>
          <w:ilvl w:val="0"/>
          <w:numId w:val="1053"/>
        </w:numPr>
      </w:pPr>
      <w:r>
        <w:rPr>
          <w:rFonts w:hint="eastAsia"/>
        </w:rPr>
        <w:t xml:space="preserve">第10条・第11条は、</w:t>
      </w:r>
      <w:r>
        <w:rPr>
          <w:rFonts w:hint="eastAsia"/>
          <w:b/>
          <w:bCs/>
        </w:rPr>
        <w:t xml:space="preserve">自社の費用構造</w:t>
      </w:r>
      <w:r>
        <w:rPr>
          <w:rFonts w:hint="eastAsia"/>
        </w:rPr>
        <w:t xml:space="preserve">に合わせて編集してください。</w:t>
      </w:r>
    </w:p>
    <w:p>
      <w:pPr>
        <w:pStyle w:val="Compact"/>
        <w:numPr>
          <w:ilvl w:val="0"/>
          <w:numId w:val="1053"/>
        </w:numPr>
      </w:pPr>
      <w:r>
        <w:rPr>
          <w:rFonts w:hint="eastAsia"/>
        </w:rPr>
        <w:t xml:space="preserve">別紙3「無償交換対象部品一覧」を作成し、月額料金に含まれる部品と実費請求の部品を明確に区分してください。</w:t>
      </w:r>
    </w:p>
    <w:p>
      <w:pPr>
        <w:pStyle w:val="Compact"/>
        <w:numPr>
          <w:ilvl w:val="0"/>
          <w:numId w:val="1053"/>
        </w:numPr>
      </w:pPr>
      <w:r>
        <w:rPr>
          <w:rFonts w:hint="eastAsia"/>
        </w:rPr>
        <w:t xml:space="preserve">別紙4「無償出張エリア」も具体化してください(地域名・所在地から○km圏内等)。</w:t>
      </w:r>
    </w:p>
    <w:bookmarkEnd w:id="54"/>
    <w:bookmarkStart w:id="55" w:name="フリーランス新法対応乙が個人事業主の場合"/>
    <w:p>
      <w:pPr>
        <w:pStyle w:val="Heading3"/>
      </w:pPr>
      <w:r>
        <w:rPr>
          <w:rFonts w:hint="eastAsia"/>
        </w:rPr>
        <w:t xml:space="preserve">フリーランス新法対応(乙が個人事業主の場合)</w:t>
      </w:r>
    </w:p>
    <w:p>
      <w:pPr>
        <w:pStyle w:val="Compact"/>
        <w:numPr>
          <w:ilvl w:val="0"/>
          <w:numId w:val="1054"/>
        </w:numPr>
      </w:pPr>
      <w:r>
        <w:rPr>
          <w:rFonts w:hint="eastAsia"/>
        </w:rPr>
        <w:t xml:space="preserve">乙が個人事業主の場合、フリーランス新法(2024年11月施行)が適用されます。</w:t>
      </w:r>
    </w:p>
    <w:p>
      <w:pPr>
        <w:pStyle w:val="Compact"/>
        <w:numPr>
          <w:ilvl w:val="0"/>
          <w:numId w:val="1054"/>
        </w:numPr>
      </w:pPr>
      <w:r>
        <w:rPr>
          <w:rFonts w:hint="eastAsia"/>
        </w:rPr>
        <w:t xml:space="preserve">業務内容・報酬額・支払期日等の取引条件を</w:t>
      </w:r>
      <w:r>
        <w:rPr>
          <w:rFonts w:hint="eastAsia"/>
          <w:b/>
          <w:bCs/>
        </w:rPr>
        <w:t xml:space="preserve">書面又は電磁的方法で明示</w:t>
      </w:r>
      <w:r>
        <w:rPr>
          <w:rFonts w:hint="eastAsia"/>
        </w:rPr>
        <w:t xml:space="preserve">する義務があります。本契約書を電磁的方法で交付すれば、明示義務を満たします。</w:t>
      </w:r>
    </w:p>
    <w:p>
      <w:pPr>
        <w:pStyle w:val="Compact"/>
        <w:numPr>
          <w:ilvl w:val="0"/>
          <w:numId w:val="1054"/>
        </w:numPr>
      </w:pPr>
      <w:r>
        <w:rPr>
          <w:rFonts w:hint="eastAsia"/>
        </w:rPr>
        <w:t xml:space="preserve">支払期日は</w:t>
      </w:r>
      <w:r>
        <w:rPr>
          <w:rFonts w:hint="eastAsia"/>
          <w:b/>
          <w:bCs/>
        </w:rPr>
        <w:t xml:space="preserve">業務遂行完了から60日以内</w:t>
      </w:r>
      <w:r>
        <w:rPr>
          <w:rFonts w:hint="eastAsia"/>
        </w:rPr>
        <w:t xml:space="preserve">に設定してください(第12条)。</w:t>
      </w:r>
    </w:p>
    <w:bookmarkEnd w:id="55"/>
    <w:bookmarkStart w:id="56" w:name="編集時の注意"/>
    <w:p>
      <w:pPr>
        <w:pStyle w:val="Heading3"/>
      </w:pPr>
      <w:r>
        <w:rPr>
          <w:rFonts w:hint="eastAsia"/>
        </w:rPr>
        <w:t xml:space="preserve">編集時の注意</w:t>
      </w:r>
    </w:p>
    <w:p>
      <w:pPr>
        <w:pStyle w:val="Compact"/>
        <w:numPr>
          <w:ilvl w:val="0"/>
          <w:numId w:val="1055"/>
        </w:numPr>
      </w:pPr>
      <w:r>
        <w:t xml:space="preserve">[ </w:t>
      </w:r>
      <w:r>
        <w:rPr>
          <w:rFonts w:hint="eastAsia"/>
        </w:rPr>
        <w:t xml:space="preserve">]括弧内の箇所は、自社の状況・業務内容に応じて編集してください。</w:t>
      </w:r>
    </w:p>
    <w:p>
      <w:pPr>
        <w:pStyle w:val="Compact"/>
        <w:numPr>
          <w:ilvl w:val="0"/>
          <w:numId w:val="1055"/>
        </w:numPr>
      </w:pPr>
      <w:r>
        <w:rPr>
          <w:rFonts w:hint="eastAsia"/>
        </w:rPr>
        <w:t xml:space="preserve">個人情報を取り扱わない業務では、第17条を削除しても問題ありません。</w:t>
      </w:r>
    </w:p>
    <w:p>
      <w:pPr>
        <w:pStyle w:val="Compact"/>
        <w:numPr>
          <w:ilvl w:val="0"/>
          <w:numId w:val="1055"/>
        </w:numPr>
      </w:pPr>
      <w:r>
        <w:rPr>
          <w:rFonts w:hint="eastAsia"/>
        </w:rPr>
        <w:t xml:space="preserve">別紙(保守対象設備・点検項目・無償交換部品・無償出張エリア)は必ず作成し、契約書末尾に添付してください。</w:t>
      </w:r>
    </w:p>
    <w:p>
      <w:pPr>
        <w:pStyle w:val="Compact"/>
        <w:numPr>
          <w:ilvl w:val="0"/>
          <w:numId w:val="1055"/>
        </w:numPr>
      </w:pPr>
      <w:r>
        <w:rPr>
          <w:rFonts w:hint="eastAsia"/>
        </w:rPr>
        <w:t xml:space="preserve">海外設備の保守を含む場合、準拠法・管轄・通貨等について弁護士にご相談ください。</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業界特有の規制・実務(医療機器・自動車・建築物・電気設備等)については、必ず弁護士・税理士・業界専門家にご相談ください。</w:t>
      </w:r>
    </w:p>
    <w:bookmarkEnd w:id="56"/>
    <w:bookmarkEnd w:id="57"/>
    <w:bookmarkEnd w:id="5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2026-06-16T00:52:13Z</dcterms:created>
  <dcterms:modified xsi:type="dcterms:W3CDTF">2026-06-16T00:52:13Z</dcterms:modified>
</cp:coreProperties>
</file>

<file path=docProps/custom.xml><?xml version="1.0" encoding="utf-8"?>
<Properties xmlns="http://schemas.openxmlformats.org/officeDocument/2006/custom-properties" xmlns:vt="http://schemas.openxmlformats.org/officeDocument/2006/docPropsVTypes"/>
</file>