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株主間契約書</w:t>
      </w:r>
    </w:p>
    <w:p>
      <w:pPr>
        <w:pStyle w:val="BlockText"/>
      </w:pPr>
      <w:r>
        <w:rPr>
          <w:rFonts w:hint="eastAsia"/>
        </w:rPr>
        <w:t xml:space="preserve">※本テンプレートはシード〜シリーズBラウンドのスタートアップ投資を想定した汎用設計です。種類株式の具体的な権利設計(優先配当率・転換比率・残余財産分配額等)は別途定款・投資契約・募集事項決議で定めるものであり、本契約は株主間の運用ルールに焦点を当てています。</w:t>
      </w:r>
      <w:r>
        <w:rPr>
          <w:rFonts w:hint="eastAsia"/>
        </w:rPr>
        <w:br/>
      </w:r>
      <w:r>
        <w:rPr>
          <w:rFonts w:hint="eastAsia"/>
        </w:rPr>
        <w:t xml:space="preserve">※2020年4月施行の改正民法、会社法、金融商品取引法等の最新法令に対応しています。</w:t>
      </w:r>
    </w:p>
    <w:p/>
    <w:p>
      <w:pPr>
        <w:pStyle w:val="Heading2"/>
      </w:pPr>
      <w:r>
        <w:rPr>
          <w:rFonts w:hint="eastAsia"/>
        </w:rPr>
        <w:t xml:space="preserve">株主間契約書</w:t>
      </w:r>
    </w:p>
    <w:p>
      <w:pPr>
        <w:pStyle w:val="FirstParagraph"/>
      </w:pPr>
      <w:r>
        <w:rPr>
          <w:rFonts w:hint="eastAsia"/>
        </w:rPr>
        <w:t xml:space="preserve">甲の正式名称(投資家)</w:t>
      </w:r>
      <w:r>
        <w:t xml:space="preserve">、</w:t>
      </w:r>
      <w:r>
        <w:rPr>
          <w:rFonts w:hint="eastAsia"/>
        </w:rPr>
        <w:t xml:space="preserve">乙の正式名称(創業者・既存株主)</w:t>
      </w:r>
      <w:r>
        <w:rPr>
          <w:rFonts w:hint="eastAsia"/>
        </w:rPr>
        <w:t xml:space="preserve">及び</w:t>
      </w:r>
      <w:r>
        <w:rPr>
          <w:rFonts w:hint="eastAsia"/>
        </w:rPr>
        <w:t xml:space="preserve">対象会社の正式名称</w:t>
      </w:r>
      <w:r>
        <w:rPr>
          <w:rFonts w:hint="eastAsia"/>
        </w:rPr>
        <w:t xml:space="preserve">は、本件会社の経営、本件会社の発行する株式の取扱い、株主間の権利義務その他必要な事項に関して、以下のとおり株主間契約(以下「本契約」という。)を締結する。</w:t>
      </w:r>
    </w:p>
    <w:p>
      <w:pPr>
        <w:pStyle w:val="BodyText"/>
      </w:pPr>
      <w:r>
        <w:rPr>
          <w:rFonts w:hint="eastAsia"/>
        </w:rPr>
        <w:t xml:space="preserve">(複数の投資家・複数の創業者が存在する場合、当事者を追加するか、当事者を「投資家」「創業者」「本件会社」のグループとして整理する。)</w:t>
      </w:r>
    </w:p>
    <w:p/>
    <w:p>
      <w:pPr>
        <w:pStyle w:val="Heading3"/>
      </w:pPr>
      <w:r>
        <w:rPr>
          <w:rFonts w:hint="eastAsia"/>
        </w:rPr>
        <w:t xml:space="preserve">第1条(目的)</w:t>
      </w:r>
    </w:p>
    <w:p>
      <w:pPr>
        <w:pStyle w:val="FirstParagraph"/>
      </w:pPr>
      <w:r>
        <w:rPr>
          <w:rFonts w:hint="eastAsia"/>
        </w:rPr>
        <w:t xml:space="preserve">本契約は、本件会社の安定的な経営、健全な成長、円滑な資金調達及び将来のEXIT(IPO・M&amp;A等)の実現を目的とし、本件会社の経営に関する事項、株主間の権利義務、本件株式の取扱い、その他必要な事項について定めるもの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「本件会社」とは、[対象会社の正式名称]をいう。</w:t>
      </w:r>
    </w:p>
    <w:p>
      <w:pPr>
        <w:pStyle w:val="Compact"/>
        <w:numPr>
          <w:ilvl w:val="0"/>
          <w:numId w:val="1001"/>
        </w:numPr>
      </w:pPr>
      <w:r>
        <w:rPr>
          <w:rFonts w:hint="eastAsia"/>
        </w:rPr>
        <w:t xml:space="preserve">「本件株式」とは、本件会社の発行する株式の全てをいう(普通株式及び種類株式を含む。)。</w:t>
      </w:r>
    </w:p>
    <w:p>
      <w:pPr>
        <w:pStyle w:val="Compact"/>
        <w:numPr>
          <w:ilvl w:val="0"/>
          <w:numId w:val="1001"/>
        </w:numPr>
      </w:pPr>
      <w:r>
        <w:rPr>
          <w:rFonts w:hint="eastAsia"/>
        </w:rPr>
        <w:t xml:space="preserve">「投資家」とは、甲及び甲が本契約に基づき指名する者をいう。</w:t>
      </w:r>
    </w:p>
    <w:p>
      <w:pPr>
        <w:pStyle w:val="Compact"/>
        <w:numPr>
          <w:ilvl w:val="0"/>
          <w:numId w:val="1001"/>
        </w:numPr>
      </w:pPr>
      <w:r>
        <w:rPr>
          <w:rFonts w:hint="eastAsia"/>
        </w:rPr>
        <w:t xml:space="preserve">「創業者」とは、乙及び乙と同等の立場にある創業株主をいう。</w:t>
      </w:r>
    </w:p>
    <w:p>
      <w:pPr>
        <w:pStyle w:val="Compact"/>
        <w:numPr>
          <w:ilvl w:val="0"/>
          <w:numId w:val="1001"/>
        </w:numPr>
      </w:pPr>
      <w:r>
        <w:rPr>
          <w:rFonts w:hint="eastAsia"/>
        </w:rPr>
        <w:t xml:space="preserve">「IPO」とは、本件会社が金融商品取引所に株式を上場することをいう。</w:t>
      </w:r>
    </w:p>
    <w:p>
      <w:pPr>
        <w:pStyle w:val="Compact"/>
        <w:numPr>
          <w:ilvl w:val="0"/>
          <w:numId w:val="1001"/>
        </w:numPr>
      </w:pPr>
      <w:r>
        <w:rPr>
          <w:rFonts w:hint="eastAsia"/>
        </w:rPr>
        <w:t xml:space="preserve">「みなし清算事由」とは、第14条に定める事由をいう。</w:t>
      </w:r>
    </w:p>
    <w:p>
      <w:pPr>
        <w:pStyle w:val="Compact"/>
        <w:numPr>
          <w:ilvl w:val="0"/>
          <w:numId w:val="1001"/>
        </w:numPr>
      </w:pPr>
      <w:r>
        <w:rPr>
          <w:rFonts w:hint="eastAsia"/>
        </w:rPr>
        <w:t xml:space="preserve">「タームシート」とは、本契約締結に先立ち、本件会社、投資家、創業者間で合意された基本条件書をいう。</w:t>
      </w:r>
    </w:p>
    <w:p/>
    <w:p>
      <w:pPr>
        <w:pStyle w:val="Heading3"/>
      </w:pPr>
      <w:r>
        <w:rPr>
          <w:rFonts w:hint="eastAsia"/>
        </w:rPr>
        <w:t xml:space="preserve">第3条(本件会社の運営に関する基本方針)</w:t>
      </w:r>
    </w:p>
    <w:p>
      <w:pPr>
        <w:pStyle w:val="Compact"/>
        <w:numPr>
          <w:ilvl w:val="0"/>
          <w:numId w:val="1002"/>
        </w:numPr>
      </w:pPr>
      <w:r>
        <w:rPr>
          <w:rFonts w:hint="eastAsia"/>
        </w:rPr>
        <w:t xml:space="preserve">本件会社及び創業者は、本件会社の事業を、当事者間で合意した事業計画に従い、誠実に遂行する。</w:t>
      </w:r>
    </w:p>
    <w:p>
      <w:pPr>
        <w:pStyle w:val="Compact"/>
        <w:numPr>
          <w:ilvl w:val="0"/>
          <w:numId w:val="1002"/>
        </w:numPr>
      </w:pPr>
      <w:r>
        <w:rPr>
          <w:rFonts w:hint="eastAsia"/>
        </w:rPr>
        <w:t xml:space="preserve">本件会社及び創業者は、本件会社の経営に関し、適切なコーポレートガバナンス体制を構築し、維持する。</w:t>
      </w:r>
    </w:p>
    <w:p>
      <w:pPr>
        <w:pStyle w:val="Compact"/>
        <w:numPr>
          <w:ilvl w:val="0"/>
          <w:numId w:val="1002"/>
        </w:numPr>
      </w:pPr>
      <w:r>
        <w:rPr>
          <w:rFonts w:hint="eastAsia"/>
        </w:rPr>
        <w:t xml:space="preserve">本件会社は、本契約に基づく投資家の権利を尊重し、本契約に反する行為を行わない。</w:t>
      </w:r>
    </w:p>
    <w:p/>
    <w:p>
      <w:pPr>
        <w:pStyle w:val="Heading3"/>
      </w:pPr>
      <w:r>
        <w:rPr>
          <w:rFonts w:hint="eastAsia"/>
        </w:rPr>
        <w:t xml:space="preserve">第4条(取締役指名権)</w:t>
      </w:r>
    </w:p>
    <w:p>
      <w:pPr>
        <w:pStyle w:val="Compact"/>
        <w:numPr>
          <w:ilvl w:val="0"/>
          <w:numId w:val="1003"/>
        </w:numPr>
      </w:pPr>
      <w:r>
        <w:rPr>
          <w:rFonts w:hint="eastAsia"/>
        </w:rPr>
        <w:t xml:space="preserve">投資家は、投資家の保有する議決権割合が[5]%以上である間、本件会社の取締役を[1]名指名する権利(以下「取締役指名権」という。)を有する。</w:t>
      </w:r>
    </w:p>
    <w:p>
      <w:pPr>
        <w:pStyle w:val="Compact"/>
        <w:numPr>
          <w:ilvl w:val="0"/>
          <w:numId w:val="1003"/>
        </w:numPr>
      </w:pPr>
      <w:r>
        <w:rPr>
          <w:rFonts w:hint="eastAsia"/>
        </w:rPr>
        <w:t xml:space="preserve">本件会社及び創業者は、投資家の指名する取締役候補者を取締役として選任するよう、株主総会において議決権を行使する。</w:t>
      </w:r>
    </w:p>
    <w:p>
      <w:pPr>
        <w:pStyle w:val="Compact"/>
        <w:numPr>
          <w:ilvl w:val="0"/>
          <w:numId w:val="1003"/>
        </w:numPr>
      </w:pPr>
      <w:r>
        <w:rPr>
          <w:rFonts w:hint="eastAsia"/>
        </w:rPr>
        <w:t xml:space="preserve">投資家は、いつでも、自己が指名した取締役を解任することを請求でき、本件会社及び創業者はこれに協力する。</w:t>
      </w:r>
    </w:p>
    <w:p>
      <w:pPr>
        <w:pStyle w:val="Compact"/>
        <w:numPr>
          <w:ilvl w:val="0"/>
          <w:numId w:val="1003"/>
        </w:numPr>
      </w:pPr>
      <w:r>
        <w:rPr>
          <w:rFonts w:hint="eastAsia"/>
        </w:rPr>
        <w:t xml:space="preserve">投資家は、第1項の取締役指名権に加え、又はこれに代えて、本件会社の取締役会にオブザーバー1名を派遣することができる(以下「オブザーバー指名権」という。)。オブザーバーは、取締役会への出席及び議事に関する情報の取得が認められるが、議決権は有しない。</w:t>
      </w:r>
    </w:p>
    <w:p/>
    <w:p>
      <w:pPr>
        <w:pStyle w:val="Heading3"/>
      </w:pPr>
      <w:r>
        <w:rPr>
          <w:rFonts w:hint="eastAsia"/>
        </w:rPr>
        <w:t xml:space="preserve">第5条(同意権・拒否権)</w:t>
      </w:r>
    </w:p>
    <w:p>
      <w:pPr>
        <w:numPr>
          <w:ilvl w:val="0"/>
          <w:numId w:val="1004"/>
        </w:numPr>
      </w:pPr>
      <w:r>
        <w:rPr>
          <w:rFonts w:hint="eastAsia"/>
        </w:rPr>
        <w:t xml:space="preserve">本件会社は、以下の各号に掲げる事項(以下「重要事項」という。)を決定するにあたり、投資家(又は投資家が指名する取締役)の事前の書面又は電磁的方法による同意を取得しなければならない。</w:t>
      </w:r>
    </w:p>
    <w:p>
      <w:pPr>
        <w:pStyle w:val="Compact"/>
        <w:numPr>
          <w:ilvl w:val="1"/>
          <w:numId w:val="1005"/>
        </w:numPr>
      </w:pPr>
      <w:r>
        <w:rPr>
          <w:rFonts w:hint="eastAsia"/>
        </w:rPr>
        <w:t xml:space="preserve">定款の変更</w:t>
      </w:r>
    </w:p>
    <w:p>
      <w:pPr>
        <w:pStyle w:val="Compact"/>
        <w:numPr>
          <w:ilvl w:val="1"/>
          <w:numId w:val="1005"/>
        </w:numPr>
      </w:pPr>
      <w:r>
        <w:rPr>
          <w:rFonts w:hint="eastAsia"/>
        </w:rPr>
        <w:t xml:space="preserve">増資、減資、新株予約権の発行、株式分割、株式併合、株式の消却、種類株式の設計変更</w:t>
      </w:r>
    </w:p>
    <w:p>
      <w:pPr>
        <w:pStyle w:val="Compact"/>
        <w:numPr>
          <w:ilvl w:val="1"/>
          <w:numId w:val="1005"/>
        </w:numPr>
      </w:pPr>
      <w:r>
        <w:rPr>
          <w:rFonts w:hint="eastAsia"/>
        </w:rPr>
        <w:t xml:space="preserve">合併、会社分割、株式交換、株式移転、事業譲渡又は事業の譲受け</w:t>
      </w:r>
    </w:p>
    <w:p>
      <w:pPr>
        <w:pStyle w:val="Compact"/>
        <w:numPr>
          <w:ilvl w:val="1"/>
          <w:numId w:val="1005"/>
        </w:numPr>
      </w:pPr>
      <w:r>
        <w:rPr>
          <w:rFonts w:hint="eastAsia"/>
        </w:rPr>
        <w:t xml:space="preserve">解散、清算、特別清算、民事再生、会社更生</w:t>
      </w:r>
    </w:p>
    <w:p>
      <w:pPr>
        <w:pStyle w:val="Compact"/>
        <w:numPr>
          <w:ilvl w:val="1"/>
          <w:numId w:val="1005"/>
        </w:numPr>
      </w:pPr>
      <w:r>
        <w:rPr>
          <w:rFonts w:hint="eastAsia"/>
        </w:rPr>
        <w:t xml:space="preserve">子会社、関連会社の設立、取得、処分</w:t>
      </w:r>
    </w:p>
    <w:p>
      <w:pPr>
        <w:pStyle w:val="Compact"/>
        <w:numPr>
          <w:ilvl w:val="1"/>
          <w:numId w:val="1005"/>
        </w:numPr>
      </w:pPr>
      <w:r>
        <w:rPr>
          <w:rFonts w:hint="eastAsia"/>
        </w:rPr>
        <w:t xml:space="preserve">1件あたり[5,000]万円以上の借入又は債務保証</w:t>
      </w:r>
    </w:p>
    <w:p>
      <w:pPr>
        <w:pStyle w:val="Compact"/>
        <w:numPr>
          <w:ilvl w:val="1"/>
          <w:numId w:val="1005"/>
        </w:numPr>
      </w:pPr>
      <w:r>
        <w:rPr>
          <w:rFonts w:hint="eastAsia"/>
        </w:rPr>
        <w:t xml:space="preserve">1件あたり[3,000]万円以上の重要資産の取得又は処分</w:t>
      </w:r>
    </w:p>
    <w:p>
      <w:pPr>
        <w:pStyle w:val="Compact"/>
        <w:numPr>
          <w:ilvl w:val="1"/>
          <w:numId w:val="1005"/>
        </w:numPr>
      </w:pPr>
      <w:r>
        <w:rPr>
          <w:rFonts w:hint="eastAsia"/>
        </w:rPr>
        <w:t xml:space="preserve">代表取締役の選任、解任、変更</w:t>
      </w:r>
    </w:p>
    <w:p>
      <w:pPr>
        <w:pStyle w:val="Compact"/>
        <w:numPr>
          <w:ilvl w:val="1"/>
          <w:numId w:val="1005"/>
        </w:numPr>
      </w:pPr>
      <w:r>
        <w:rPr>
          <w:rFonts w:hint="eastAsia"/>
        </w:rPr>
        <w:t xml:space="preserve">取締役の報酬総額又は個別報酬の変更</w:t>
      </w:r>
    </w:p>
    <w:p>
      <w:pPr>
        <w:pStyle w:val="Compact"/>
        <w:numPr>
          <w:ilvl w:val="1"/>
          <w:numId w:val="1005"/>
        </w:numPr>
      </w:pPr>
      <w:r>
        <w:rPr>
          <w:rFonts w:hint="eastAsia"/>
        </w:rPr>
        <w:t xml:space="preserve">事業計画の重要な変更</w:t>
      </w:r>
    </w:p>
    <w:p>
      <w:pPr>
        <w:pStyle w:val="Compact"/>
        <w:numPr>
          <w:ilvl w:val="1"/>
          <w:numId w:val="1005"/>
        </w:numPr>
      </w:pPr>
      <w:r>
        <w:rPr>
          <w:rFonts w:hint="eastAsia"/>
        </w:rPr>
        <w:t xml:space="preserve">創業者との利益相反取引</w:t>
      </w:r>
    </w:p>
    <w:p>
      <w:pPr>
        <w:pStyle w:val="Compact"/>
        <w:numPr>
          <w:ilvl w:val="1"/>
          <w:numId w:val="1005"/>
        </w:numPr>
      </w:pPr>
      <w:r>
        <w:rPr>
          <w:rFonts w:hint="eastAsia"/>
        </w:rPr>
        <w:t xml:space="preserve">本件会社の主要事業から逸脱する新規事業への参入</w:t>
      </w:r>
    </w:p>
    <w:p>
      <w:pPr>
        <w:pStyle w:val="Compact"/>
        <w:numPr>
          <w:ilvl w:val="1"/>
          <w:numId w:val="1005"/>
        </w:numPr>
      </w:pPr>
      <w:r>
        <w:rPr>
          <w:rFonts w:hint="eastAsia"/>
        </w:rPr>
        <w:t xml:space="preserve">その他経営上重要な事項</w:t>
      </w:r>
    </w:p>
    <w:p>
      <w:pPr>
        <w:numPr>
          <w:ilvl w:val="0"/>
          <w:numId w:val="1004"/>
        </w:numPr>
      </w:pPr>
      <w:r>
        <w:rPr>
          <w:rFonts w:hint="eastAsia"/>
        </w:rPr>
        <w:t xml:space="preserve">投資家は、前項の同意の判断にあたり、本件会社及び創業者から提供された情報に基づき、合理的な期間内に判断するものとする。</w:t>
      </w:r>
    </w:p>
    <w:p/>
    <w:p>
      <w:pPr>
        <w:pStyle w:val="Heading3"/>
      </w:pPr>
      <w:r>
        <w:rPr>
          <w:rFonts w:hint="eastAsia"/>
        </w:rPr>
        <w:t xml:space="preserve">第6条(報告・情報開示請求権)</w:t>
      </w:r>
    </w:p>
    <w:p>
      <w:pPr>
        <w:pStyle w:val="Compact"/>
        <w:numPr>
          <w:ilvl w:val="0"/>
          <w:numId w:val="1006"/>
        </w:numPr>
      </w:pPr>
      <w:r>
        <w:rPr>
          <w:rFonts w:hint="eastAsia"/>
        </w:rPr>
        <w:t xml:space="preserve">本件会社は、投資家に対し、以下の情報を提供する。</w:t>
      </w:r>
    </w:p>
    <w:p>
      <w:pPr>
        <w:pStyle w:val="Compact"/>
        <w:numPr>
          <w:ilvl w:val="1"/>
          <w:numId w:val="1007"/>
        </w:numPr>
      </w:pPr>
      <w:r>
        <w:rPr>
          <w:rFonts w:hint="eastAsia"/>
        </w:rPr>
        <w:t xml:space="preserve">月次:売上、費用、キャッシュフロー、主要KPIに関する報告(翌月末日まで)</w:t>
      </w:r>
    </w:p>
    <w:p>
      <w:pPr>
        <w:pStyle w:val="Compact"/>
        <w:numPr>
          <w:ilvl w:val="1"/>
          <w:numId w:val="1007"/>
        </w:numPr>
      </w:pPr>
      <w:r>
        <w:rPr>
          <w:rFonts w:hint="eastAsia"/>
        </w:rPr>
        <w:t xml:space="preserve">四半期:四半期決算情報、事業進捗報告(四半期末から30日以内)</w:t>
      </w:r>
    </w:p>
    <w:p>
      <w:pPr>
        <w:pStyle w:val="Compact"/>
        <w:numPr>
          <w:ilvl w:val="1"/>
          <w:numId w:val="1007"/>
        </w:numPr>
      </w:pPr>
      <w:r>
        <w:rPr>
          <w:rFonts w:hint="eastAsia"/>
        </w:rPr>
        <w:t xml:space="preserve">年次:年次決算書類(計算書類、事業報告等)、監査報告書(株主総会後速やかに)</w:t>
      </w:r>
    </w:p>
    <w:p>
      <w:pPr>
        <w:pStyle w:val="Compact"/>
        <w:numPr>
          <w:ilvl w:val="1"/>
          <w:numId w:val="1007"/>
        </w:numPr>
      </w:pPr>
      <w:r>
        <w:rPr>
          <w:rFonts w:hint="eastAsia"/>
        </w:rPr>
        <w:t xml:space="preserve">重要事項発生時:適時の通知(重大な経営判断、重要な契約締結等)</w:t>
      </w:r>
    </w:p>
    <w:p>
      <w:pPr>
        <w:pStyle w:val="Compact"/>
        <w:numPr>
          <w:ilvl w:val="0"/>
          <w:numId w:val="1006"/>
        </w:numPr>
      </w:pPr>
      <w:r>
        <w:rPr>
          <w:rFonts w:hint="eastAsia"/>
        </w:rPr>
        <w:t xml:space="preserve">投資家は、合理的な範囲で、本件会社に対し追加情報の提供を請求でき、本件会社はこれに合理的な範囲で応じる。</w:t>
      </w:r>
    </w:p>
    <w:p>
      <w:pPr>
        <w:pStyle w:val="Compact"/>
        <w:numPr>
          <w:ilvl w:val="0"/>
          <w:numId w:val="1006"/>
        </w:numPr>
      </w:pPr>
      <w:r>
        <w:rPr>
          <w:rFonts w:hint="eastAsia"/>
        </w:rPr>
        <w:t xml:space="preserve">本件会社は、投資家又はその指名する者による、本件会社の帳簿・記録の閲覧、財務状況の調査(デューデリジェンスを含む。)を、合理的な範囲で許可する。</w:t>
      </w:r>
    </w:p>
    <w:p/>
    <w:p>
      <w:pPr>
        <w:pStyle w:val="Heading3"/>
      </w:pPr>
      <w:r>
        <w:rPr>
          <w:rFonts w:hint="eastAsia"/>
        </w:rPr>
        <w:t xml:space="preserve">第7条(本件株式の譲渡制限)</w:t>
      </w:r>
    </w:p>
    <w:p>
      <w:pPr>
        <w:pStyle w:val="Compact"/>
        <w:numPr>
          <w:ilvl w:val="0"/>
          <w:numId w:val="1008"/>
        </w:numPr>
      </w:pPr>
      <w:r>
        <w:rPr>
          <w:rFonts w:hint="eastAsia"/>
        </w:rPr>
        <w:t xml:space="preserve">創業者は、本件会社の発行する全株式について、投資家の事前の書面又は電磁的方法による同意を得ない限り、第三者に譲渡、質入れ、その他処分してはならない。</w:t>
      </w:r>
    </w:p>
    <w:p>
      <w:pPr>
        <w:pStyle w:val="Compact"/>
        <w:numPr>
          <w:ilvl w:val="0"/>
          <w:numId w:val="1008"/>
        </w:numPr>
      </w:pPr>
      <w:r>
        <w:rPr>
          <w:rFonts w:hint="eastAsia"/>
        </w:rPr>
        <w:t xml:space="preserve">投資家は、本件会社及び創業者の事前の書面又は電磁的方法による同意を得ない限り、本件株式を本件会社の競合事業者に譲渡してはならない。</w:t>
      </w:r>
    </w:p>
    <w:p>
      <w:pPr>
        <w:pStyle w:val="Compact"/>
        <w:numPr>
          <w:ilvl w:val="0"/>
          <w:numId w:val="1008"/>
        </w:numPr>
      </w:pPr>
      <w:r>
        <w:rPr>
          <w:rFonts w:hint="eastAsia"/>
        </w:rPr>
        <w:t xml:space="preserve">前2項の規定にかかわらず、第8条(先買権)及び第9条(共同売却請求権)、第10条(強制売却請求権)の定めに従う譲渡は許容される。</w:t>
      </w:r>
    </w:p>
    <w:p/>
    <w:p>
      <w:pPr>
        <w:pStyle w:val="Heading3"/>
      </w:pPr>
      <w:r>
        <w:rPr>
          <w:rFonts w:hint="eastAsia"/>
        </w:rPr>
        <w:t xml:space="preserve">第8条(先買権・第一拒絶権)</w:t>
      </w:r>
    </w:p>
    <w:p>
      <w:pPr>
        <w:pStyle w:val="Compact"/>
        <w:numPr>
          <w:ilvl w:val="0"/>
          <w:numId w:val="1009"/>
        </w:numPr>
      </w:pPr>
      <w:r>
        <w:rPr>
          <w:rFonts w:hint="eastAsia"/>
        </w:rPr>
        <w:t xml:space="preserve">株主の一人(以下「譲渡希望株主」という。)が、その保有する本件株式の全部又は一部を第三者に譲渡しようとする場合、譲渡希望株主は、他の株主(以下「他株主」という。)に対し、譲受人候補、譲渡対象株式数、譲渡価格、その他の譲渡条件を記載した書面又は電磁的方法による通知(以下「譲渡通知」という。)を行う。</w:t>
      </w:r>
    </w:p>
    <w:p>
      <w:pPr>
        <w:pStyle w:val="Compact"/>
        <w:numPr>
          <w:ilvl w:val="0"/>
          <w:numId w:val="1009"/>
        </w:numPr>
      </w:pPr>
      <w:r>
        <w:rPr>
          <w:rFonts w:hint="eastAsia"/>
        </w:rPr>
        <w:t xml:space="preserve">他株主は、譲渡通知受領後[30]日以内に、譲渡通知の条件と同一の条件で、譲渡希望株主から譲渡対象株式の全部又は一部を買い受けることができる。</w:t>
      </w:r>
    </w:p>
    <w:p>
      <w:pPr>
        <w:pStyle w:val="Compact"/>
        <w:numPr>
          <w:ilvl w:val="0"/>
          <w:numId w:val="1009"/>
        </w:numPr>
      </w:pPr>
      <w:r>
        <w:rPr>
          <w:rFonts w:hint="eastAsia"/>
        </w:rPr>
        <w:t xml:space="preserve">複数の他株主が前項の権利を行使した場合、譲渡対象株式は、各他株主が当該行使時点で保有する本件株式数に応じて按分して譲渡される。</w:t>
      </w:r>
    </w:p>
    <w:p>
      <w:pPr>
        <w:pStyle w:val="Compact"/>
        <w:numPr>
          <w:ilvl w:val="0"/>
          <w:numId w:val="1009"/>
        </w:numPr>
      </w:pPr>
      <w:r>
        <w:rPr>
          <w:rFonts w:hint="eastAsia"/>
        </w:rPr>
        <w:t xml:space="preserve">他株主が第2項の期間内に権利を行使しない場合、譲渡希望株主は、譲渡通知に記載された条件と同一以上の条件で、当該第三者に対し譲渡することができる。譲渡通知から[60]日以内に譲渡が実施されない場合、再度本条の手続きを経るものとする。</w:t>
      </w:r>
    </w:p>
    <w:p/>
    <w:p>
      <w:pPr>
        <w:pStyle w:val="Heading3"/>
      </w:pPr>
      <w:r>
        <w:rPr>
          <w:rFonts w:hint="eastAsia"/>
        </w:rPr>
        <w:t xml:space="preserve">第9条(共同売却請求権・タグアロング)</w:t>
      </w:r>
    </w:p>
    <w:p>
      <w:pPr>
        <w:pStyle w:val="Compact"/>
        <w:numPr>
          <w:ilvl w:val="0"/>
          <w:numId w:val="1010"/>
        </w:numPr>
      </w:pPr>
      <w:r>
        <w:rPr>
          <w:rFonts w:hint="eastAsia"/>
        </w:rPr>
        <w:t xml:space="preserve">創業者が、その保有する本件株式の全部又は一部を第三者に譲渡しようとする場合(第8条第4項に基づく譲渡を含む。)、創業者は、投資家に対し、譲渡条件を書面又は電磁的方法により通知する。</w:t>
      </w:r>
    </w:p>
    <w:p>
      <w:pPr>
        <w:pStyle w:val="Compact"/>
        <w:numPr>
          <w:ilvl w:val="0"/>
          <w:numId w:val="1010"/>
        </w:numPr>
      </w:pPr>
      <w:r>
        <w:rPr>
          <w:rFonts w:hint="eastAsia"/>
        </w:rPr>
        <w:t xml:space="preserve">投資家は、当該通知受領後[30]日以内に、自己の保有する本件株式の全部又は一部について、創業者と同一条件で、当該第三者に対し同時に譲渡することを請求できる(以下「共同売却請求権」という。)。</w:t>
      </w:r>
    </w:p>
    <w:p>
      <w:pPr>
        <w:pStyle w:val="Compact"/>
        <w:numPr>
          <w:ilvl w:val="0"/>
          <w:numId w:val="1010"/>
        </w:numPr>
      </w:pPr>
      <w:r>
        <w:rPr>
          <w:rFonts w:hint="eastAsia"/>
        </w:rPr>
        <w:t xml:space="preserve">創業者は、投資家から共同売却請求権の行使を受けた場合、当該第三者に対し、創業者の譲渡株式と投資家の譲渡株式を併せて譲渡するよう要求する。</w:t>
      </w:r>
    </w:p>
    <w:p>
      <w:pPr>
        <w:pStyle w:val="Compact"/>
        <w:numPr>
          <w:ilvl w:val="0"/>
          <w:numId w:val="1010"/>
        </w:numPr>
      </w:pPr>
      <w:r>
        <w:rPr>
          <w:rFonts w:hint="eastAsia"/>
        </w:rPr>
        <w:t xml:space="preserve">当該第三者が前項の譲渡を受け入れない場合、創業者は本件譲渡を実施することができない。</w:t>
      </w:r>
    </w:p>
    <w:p/>
    <w:p>
      <w:pPr>
        <w:pStyle w:val="Heading3"/>
      </w:pPr>
      <w:r>
        <w:rPr>
          <w:rFonts w:hint="eastAsia"/>
        </w:rPr>
        <w:t xml:space="preserve">第10条(強制売却請求権・ドラッグアロング)</w:t>
      </w:r>
    </w:p>
    <w:p>
      <w:pPr>
        <w:pStyle w:val="Compact"/>
        <w:numPr>
          <w:ilvl w:val="0"/>
          <w:numId w:val="1011"/>
        </w:numPr>
      </w:pPr>
      <w:r>
        <w:rPr>
          <w:rFonts w:hint="eastAsia"/>
        </w:rPr>
        <w:t xml:space="preserve">本件会社の発行済株式の議決権の[3分の2]以上を保有する株主(以下「請求株主」という。)が、本件会社の発行済株式全部を第三者に譲渡することについて合意した場合、請求株主は、他のすべての株主に対し、その保有する全本件株式を請求株主と同一条件で当該第三者に譲渡することを請求できる(以下「強制売却請求権」という。)。</w:t>
      </w:r>
    </w:p>
    <w:p>
      <w:pPr>
        <w:pStyle w:val="Compact"/>
        <w:numPr>
          <w:ilvl w:val="0"/>
          <w:numId w:val="1011"/>
        </w:numPr>
      </w:pPr>
      <w:r>
        <w:rPr>
          <w:rFonts w:hint="eastAsia"/>
        </w:rPr>
        <w:t xml:space="preserve">強制売却請求権の行使要件として、譲渡対象株式に係る譲渡価格の総額が、投資家の本件会社に対する出資総額の[○]倍以上であることを要するものとする(最低譲渡価格条項)。</w:t>
      </w:r>
    </w:p>
    <w:p>
      <w:pPr>
        <w:pStyle w:val="Compact"/>
        <w:numPr>
          <w:ilvl w:val="0"/>
          <w:numId w:val="1011"/>
        </w:numPr>
      </w:pPr>
      <w:r>
        <w:rPr>
          <w:rFonts w:hint="eastAsia"/>
        </w:rPr>
        <w:t xml:space="preserve">他のすべての株主は、強制売却請求権の行使を受けた場合、その保有する全本件株式について、請求株主と同一条件で当該第三者に譲渡する義務を負う。</w:t>
      </w:r>
    </w:p>
    <w:p>
      <w:pPr>
        <w:pStyle w:val="Compact"/>
        <w:numPr>
          <w:ilvl w:val="0"/>
          <w:numId w:val="1011"/>
        </w:numPr>
      </w:pPr>
      <w:r>
        <w:rPr>
          <w:rFonts w:hint="eastAsia"/>
        </w:rPr>
        <w:t xml:space="preserve">本条による譲渡が成立した場合、譲渡対価は、各株主の保有する種類株式の優先順位及び条件に従って、各株主に分配される(第13条のみなし清算事由と同様の優先分配ルールを準用する。)。</w:t>
      </w:r>
    </w:p>
    <w:p/>
    <w:p>
      <w:pPr>
        <w:pStyle w:val="Heading3"/>
      </w:pPr>
      <w:r>
        <w:rPr>
          <w:rFonts w:hint="eastAsia"/>
        </w:rPr>
        <w:t xml:space="preserve">第11条(希薄化防止)</w:t>
      </w:r>
    </w:p>
    <w:p>
      <w:pPr>
        <w:numPr>
          <w:ilvl w:val="0"/>
          <w:numId w:val="1012"/>
        </w:numPr>
      </w:pPr>
      <w:r>
        <w:rPr>
          <w:rFonts w:hint="eastAsia"/>
        </w:rPr>
        <w:t xml:space="preserve">本件会社が、本契約締結後、本件株式(普通株式換算ベース)を、本契約締結時の投資家の取得価格(以下「直近取得価格」という。)を下回る価格で発行する場合(以下「希薄化事由」という。)、投資家の取得価格は、加重平均方式により以下のとおり調整される。</w:t>
      </w:r>
    </w:p>
    <w:p>
      <w:pPr>
        <w:numPr>
          <w:ilvl w:val="0"/>
          <w:numId w:val="1000"/>
        </w:numPr>
      </w:pPr>
      <w:r>
        <w:rPr>
          <w:rFonts w:hint="eastAsia"/>
        </w:rPr>
        <w:t xml:space="preserve">調整後取得価格</w:t>
      </w:r>
      <w:r>
        <w:t xml:space="preserve"> = </w:t>
      </w:r>
      <w:r>
        <w:rPr>
          <w:rFonts w:hint="eastAsia"/>
        </w:rPr>
        <w:t xml:space="preserve">直近取得価格</w:t>
      </w:r>
      <w:r>
        <w:t xml:space="preserve"> </w:t>
      </w:r>
      <w:r>
        <w:rPr>
          <w:rFonts w:hint="eastAsia"/>
        </w:rPr>
        <w:t xml:space="preserve">×（（既発行株式数</w:t>
      </w:r>
      <w:r>
        <w:t xml:space="preserve"> + </w:t>
      </w:r>
      <w:r>
        <w:rPr>
          <w:rFonts w:hint="eastAsia"/>
        </w:rPr>
        <w:t xml:space="preserve">新規発行に対応する直近取得価格相当の株式数）÷（既発行株式数</w:t>
      </w:r>
      <w:r>
        <w:t xml:space="preserve"> + </w:t>
      </w:r>
      <w:r>
        <w:rPr>
          <w:rFonts w:hint="eastAsia"/>
        </w:rPr>
        <w:t xml:space="preserve">新規発行株式数））</w:t>
      </w:r>
    </w:p>
    <w:p>
      <w:pPr>
        <w:numPr>
          <w:ilvl w:val="0"/>
          <w:numId w:val="1000"/>
        </w:numPr>
      </w:pPr>
      <w:r>
        <w:rPr>
          <w:rFonts w:hint="eastAsia"/>
        </w:rPr>
        <w:t xml:space="preserve">※詳細な算式は別紙計算式参照</w:t>
      </w:r>
    </w:p>
    <w:p>
      <w:pPr>
        <w:numPr>
          <w:ilvl w:val="0"/>
          <w:numId w:val="1012"/>
        </w:numPr>
      </w:pPr>
      <w:r>
        <w:rPr>
          <w:rFonts w:hint="eastAsia"/>
        </w:rPr>
        <w:t xml:space="preserve">以下の場合は、希薄化事由に該当しないものとし、調整は行わない。</w:t>
      </w:r>
    </w:p>
    <w:p>
      <w:pPr>
        <w:pStyle w:val="Compact"/>
        <w:numPr>
          <w:ilvl w:val="1"/>
          <w:numId w:val="1013"/>
        </w:numPr>
      </w:pPr>
      <w:r>
        <w:rPr>
          <w:rFonts w:hint="eastAsia"/>
        </w:rPr>
        <w:t xml:space="preserve">役員・従業員に対するストックオプションの発行</w:t>
      </w:r>
    </w:p>
    <w:p>
      <w:pPr>
        <w:pStyle w:val="Compact"/>
        <w:numPr>
          <w:ilvl w:val="1"/>
          <w:numId w:val="1013"/>
        </w:numPr>
      </w:pPr>
      <w:r>
        <w:rPr>
          <w:rFonts w:hint="eastAsia"/>
        </w:rPr>
        <w:t xml:space="preserve">既存株主への株式分割</w:t>
      </w:r>
    </w:p>
    <w:p>
      <w:pPr>
        <w:pStyle w:val="Compact"/>
        <w:numPr>
          <w:ilvl w:val="1"/>
          <w:numId w:val="1013"/>
        </w:numPr>
      </w:pPr>
      <w:r>
        <w:rPr>
          <w:rFonts w:hint="eastAsia"/>
        </w:rPr>
        <w:t xml:space="preserve">その他、投資家が事前に書面又は電磁的方法により同意した発行</w:t>
      </w:r>
    </w:p>
    <w:p>
      <w:pPr>
        <w:numPr>
          <w:ilvl w:val="0"/>
          <w:numId w:val="1012"/>
        </w:numPr>
      </w:pPr>
      <w:r>
        <w:rPr>
          <w:rFonts w:hint="eastAsia"/>
        </w:rPr>
        <w:t xml:space="preserve">希薄化事由が発生した場合、本件会社は、投資家に対し速やかに通知し、調整後取得価格に基づく株式数の調整(追加株式の発行又は転換比率の調整)に必要な手続きを行う。</w:t>
      </w:r>
    </w:p>
    <w:p/>
    <w:p>
      <w:pPr>
        <w:pStyle w:val="Heading3"/>
      </w:pPr>
      <w:r>
        <w:rPr>
          <w:rFonts w:hint="eastAsia"/>
        </w:rPr>
        <w:t xml:space="preserve">第12条(優先分配・残余財産分配)</w:t>
      </w:r>
    </w:p>
    <w:p>
      <w:pPr>
        <w:pStyle w:val="Compact"/>
        <w:numPr>
          <w:ilvl w:val="0"/>
          <w:numId w:val="1014"/>
        </w:numPr>
      </w:pPr>
      <w:r>
        <w:rPr>
          <w:rFonts w:hint="eastAsia"/>
        </w:rPr>
        <w:t xml:space="preserve">本件会社が解散又は清算した場合、本件株式に対する残余財産の分配は、本件会社の定款及び募集事項決議で定める種類株式の優先順位に従って行われる。</w:t>
      </w:r>
    </w:p>
    <w:p>
      <w:pPr>
        <w:pStyle w:val="Compact"/>
        <w:numPr>
          <w:ilvl w:val="0"/>
          <w:numId w:val="1014"/>
        </w:numPr>
      </w:pPr>
      <w:r>
        <w:rPr>
          <w:rFonts w:hint="eastAsia"/>
        </w:rPr>
        <w:t xml:space="preserve">投資家が保有する種類株式は、普通株式に先立って、出資額に相当する額(又は別途定める優先分配額)の分配を受ける。</w:t>
      </w:r>
    </w:p>
    <w:p>
      <w:pPr>
        <w:pStyle w:val="Compact"/>
        <w:numPr>
          <w:ilvl w:val="0"/>
          <w:numId w:val="1014"/>
        </w:numPr>
      </w:pPr>
      <w:r>
        <w:rPr>
          <w:rFonts w:hint="eastAsia"/>
        </w:rPr>
        <w:t xml:space="preserve">残余財産が前項の優先分配を満たすに足りない場合、投資家が保有する種類株式間で、出資額に応じて按分配分される。</w:t>
      </w:r>
    </w:p>
    <w:p/>
    <w:p>
      <w:pPr>
        <w:pStyle w:val="Heading3"/>
      </w:pPr>
      <w:r>
        <w:rPr>
          <w:rFonts w:hint="eastAsia"/>
        </w:rPr>
        <w:t xml:space="preserve">第13条(みなし清算事由)</w:t>
      </w:r>
    </w:p>
    <w:p>
      <w:pPr>
        <w:pStyle w:val="Compact"/>
        <w:numPr>
          <w:ilvl w:val="0"/>
          <w:numId w:val="1015"/>
        </w:numPr>
      </w:pPr>
      <w:r>
        <w:rPr>
          <w:rFonts w:hint="eastAsia"/>
        </w:rPr>
        <w:t xml:space="preserve">以下の事由を「みなし清算事由」という。</w:t>
      </w:r>
    </w:p>
    <w:p>
      <w:pPr>
        <w:pStyle w:val="Compact"/>
        <w:numPr>
          <w:ilvl w:val="1"/>
          <w:numId w:val="1016"/>
        </w:numPr>
      </w:pPr>
      <w:r>
        <w:rPr>
          <w:rFonts w:hint="eastAsia"/>
        </w:rPr>
        <w:t xml:space="preserve">本件会社の合併、会社分割、株式交換、株式移転による経営権の変更</w:t>
      </w:r>
    </w:p>
    <w:p>
      <w:pPr>
        <w:pStyle w:val="Compact"/>
        <w:numPr>
          <w:ilvl w:val="1"/>
          <w:numId w:val="1016"/>
        </w:numPr>
      </w:pPr>
      <w:r>
        <w:rPr>
          <w:rFonts w:hint="eastAsia"/>
        </w:rPr>
        <w:t xml:space="preserve">本件会社の発行済株式の議決権の過半数の第三者への譲渡</w:t>
      </w:r>
    </w:p>
    <w:p>
      <w:pPr>
        <w:pStyle w:val="Compact"/>
        <w:numPr>
          <w:ilvl w:val="1"/>
          <w:numId w:val="1016"/>
        </w:numPr>
      </w:pPr>
      <w:r>
        <w:rPr>
          <w:rFonts w:hint="eastAsia"/>
        </w:rPr>
        <w:t xml:space="preserve">本件会社の主要事業の譲渡又は譲受け</w:t>
      </w:r>
    </w:p>
    <w:p>
      <w:pPr>
        <w:pStyle w:val="Compact"/>
        <w:numPr>
          <w:ilvl w:val="0"/>
          <w:numId w:val="1015"/>
        </w:numPr>
      </w:pPr>
      <w:r>
        <w:rPr>
          <w:rFonts w:hint="eastAsia"/>
        </w:rPr>
        <w:t xml:space="preserve">みなし清算事由が発生した場合、これによって本件会社又は株主が受領する対価は、第12条に定める優先分配の規定に従って、各株主に分配されるものとする。</w:t>
      </w:r>
    </w:p>
    <w:p/>
    <w:p>
      <w:pPr>
        <w:pStyle w:val="Heading3"/>
      </w:pPr>
      <w:r>
        <w:rPr>
          <w:rFonts w:hint="eastAsia"/>
        </w:rPr>
        <w:t xml:space="preserve">第14条(IPO努力義務)</w:t>
      </w:r>
    </w:p>
    <w:p>
      <w:pPr>
        <w:pStyle w:val="Compact"/>
        <w:numPr>
          <w:ilvl w:val="0"/>
          <w:numId w:val="1017"/>
        </w:numPr>
      </w:pPr>
      <w:r>
        <w:rPr>
          <w:rFonts w:hint="eastAsia"/>
        </w:rPr>
        <w:t xml:space="preserve">本件会社及び創業者は、本件会社のIPOを目指し、これに向けて誠実に努力する。</w:t>
      </w:r>
    </w:p>
    <w:p>
      <w:pPr>
        <w:pStyle w:val="Compact"/>
        <w:numPr>
          <w:ilvl w:val="0"/>
          <w:numId w:val="1017"/>
        </w:numPr>
      </w:pPr>
      <w:r>
        <w:rPr>
          <w:rFonts w:hint="eastAsia"/>
        </w:rPr>
        <w:t xml:space="preserve">本件会社及び創業者は、投資家との協議の上、IPOに向けた事業計画、ガバナンス体制、内部統制、開示体制等の整備を進める。</w:t>
      </w:r>
    </w:p>
    <w:p>
      <w:pPr>
        <w:pStyle w:val="Compact"/>
        <w:numPr>
          <w:ilvl w:val="0"/>
          <w:numId w:val="1017"/>
        </w:numPr>
      </w:pPr>
      <w:r>
        <w:rPr>
          <w:rFonts w:hint="eastAsia"/>
        </w:rPr>
        <w:t xml:space="preserve">IPO達成時には、本契約は第21条(終了)の規定に従い終了する。</w:t>
      </w:r>
    </w:p>
    <w:p/>
    <w:p>
      <w:pPr>
        <w:pStyle w:val="Heading3"/>
      </w:pPr>
      <w:r>
        <w:rPr>
          <w:rFonts w:hint="eastAsia"/>
        </w:rPr>
        <w:t xml:space="preserve">第15条(買戻請求権)</w:t>
      </w:r>
    </w:p>
    <w:p>
      <w:pPr>
        <w:pStyle w:val="Compact"/>
        <w:numPr>
          <w:ilvl w:val="0"/>
          <w:numId w:val="1018"/>
        </w:numPr>
      </w:pPr>
      <w:r>
        <w:rPr>
          <w:rFonts w:hint="eastAsia"/>
        </w:rPr>
        <w:t xml:space="preserve">以下の事由が発生した場合、投資家は、本件会社又は創業者に対し、投資家が保有する本件株式の全部又は一部を、出資額に相当する額(又は別途定める算定額)で買い戻すよう請求することができる。</w:t>
      </w:r>
    </w:p>
    <w:p>
      <w:pPr>
        <w:pStyle w:val="Compact"/>
        <w:numPr>
          <w:ilvl w:val="1"/>
          <w:numId w:val="1019"/>
        </w:numPr>
      </w:pPr>
      <w:r>
        <w:rPr>
          <w:rFonts w:hint="eastAsia"/>
        </w:rPr>
        <w:t xml:space="preserve">本契約締結後[7]年以内にIPOが実現せず、かつIPOに向けた合理的な準備も行われていないとき</w:t>
      </w:r>
    </w:p>
    <w:p>
      <w:pPr>
        <w:pStyle w:val="Compact"/>
        <w:numPr>
          <w:ilvl w:val="1"/>
          <w:numId w:val="1019"/>
        </w:numPr>
      </w:pPr>
      <w:r>
        <w:rPr>
          <w:rFonts w:hint="eastAsia"/>
        </w:rPr>
        <w:t xml:space="preserve">創業者が、本契約の重大な義務(専念義務、競業避止義務等)に違反したとき</w:t>
      </w:r>
    </w:p>
    <w:p>
      <w:pPr>
        <w:pStyle w:val="Compact"/>
        <w:numPr>
          <w:ilvl w:val="1"/>
          <w:numId w:val="1019"/>
        </w:numPr>
      </w:pPr>
      <w:r>
        <w:rPr>
          <w:rFonts w:hint="eastAsia"/>
        </w:rPr>
        <w:t xml:space="preserve">本件会社又は創業者が、投資家に対し、虚偽又は誤解を招く重要事項の開示を行ったとき</w:t>
      </w:r>
    </w:p>
    <w:p>
      <w:pPr>
        <w:pStyle w:val="Compact"/>
        <w:numPr>
          <w:ilvl w:val="0"/>
          <w:numId w:val="1018"/>
        </w:numPr>
      </w:pPr>
      <w:r>
        <w:rPr>
          <w:rFonts w:hint="eastAsia"/>
        </w:rPr>
        <w:t xml:space="preserve">本件会社又は創業者は、買戻請求を受けた場合、合理的な期間内に協議の上、買戻しの実施について合意する。</w:t>
      </w:r>
    </w:p>
    <w:p/>
    <w:p>
      <w:pPr>
        <w:pStyle w:val="Heading3"/>
      </w:pPr>
      <w:r>
        <w:rPr>
          <w:rFonts w:hint="eastAsia"/>
        </w:rPr>
        <w:t xml:space="preserve">第16条(創業者の専念義務)</w:t>
      </w:r>
    </w:p>
    <w:p>
      <w:pPr>
        <w:pStyle w:val="Compact"/>
        <w:numPr>
          <w:ilvl w:val="0"/>
          <w:numId w:val="1020"/>
        </w:numPr>
      </w:pPr>
      <w:r>
        <w:rPr>
          <w:rFonts w:hint="eastAsia"/>
        </w:rPr>
        <w:t xml:space="preserve">創業者は、本契約期間中、本件会社の事業遂行に専念し、投資家の事前の書面又は電磁的方法による同意を得ない限り、本件会社以外の事業に従事し、又は他の事業会社の役員若しくは従業員に就任してはならない。</w:t>
      </w:r>
    </w:p>
    <w:p>
      <w:pPr>
        <w:pStyle w:val="Compact"/>
        <w:numPr>
          <w:ilvl w:val="0"/>
          <w:numId w:val="1020"/>
        </w:numPr>
      </w:pPr>
      <w:r>
        <w:rPr>
          <w:rFonts w:hint="eastAsia"/>
        </w:rPr>
        <w:t xml:space="preserve">創業者が本件会社の役員又は従業員としての地位を、自己の意思により又は本件会社の重大な事由なくして退任又は退職する場合、創業者は投資家に事前に通知し、投資家と協議する。</w:t>
      </w:r>
    </w:p>
    <w:p/>
    <w:p>
      <w:pPr>
        <w:pStyle w:val="Heading3"/>
      </w:pPr>
      <w:r>
        <w:rPr>
          <w:rFonts w:hint="eastAsia"/>
        </w:rPr>
        <w:t xml:space="preserve">第17条(競業避止)</w:t>
      </w:r>
    </w:p>
    <w:p>
      <w:pPr>
        <w:pStyle w:val="Compact"/>
        <w:numPr>
          <w:ilvl w:val="0"/>
          <w:numId w:val="1021"/>
        </w:numPr>
      </w:pPr>
      <w:r>
        <w:rPr>
          <w:rFonts w:hint="eastAsia"/>
        </w:rPr>
        <w:t xml:space="preserve">創業者は、本契約期間中及び本件会社の役員・従業員としての地位を退任又は退職した後[2]年間、本件会社の事業と直接競合する事業を、自ら行い、又は競合事業者の役員・従業員として従事してはならない。</w:t>
      </w:r>
    </w:p>
    <w:p>
      <w:pPr>
        <w:pStyle w:val="Compact"/>
        <w:numPr>
          <w:ilvl w:val="0"/>
          <w:numId w:val="1021"/>
        </w:numPr>
      </w:pPr>
      <w:r>
        <w:rPr>
          <w:rFonts w:hint="eastAsia"/>
        </w:rPr>
        <w:t xml:space="preserve">前項の制限は、創業者の生活・職業選択の自由に過度な制約を課すものではなく、合理的な範囲に限定されるものと解釈される。</w:t>
      </w:r>
    </w:p>
    <w:p/>
    <w:p>
      <w:pPr>
        <w:pStyle w:val="Heading3"/>
      </w:pPr>
      <w:r>
        <w:rPr>
          <w:rFonts w:hint="eastAsia"/>
        </w:rPr>
        <w:t xml:space="preserve">第18条(秘密保持)</w:t>
      </w:r>
    </w:p>
    <w:p>
      <w:pPr>
        <w:pStyle w:val="Compact"/>
        <w:numPr>
          <w:ilvl w:val="0"/>
          <w:numId w:val="1022"/>
        </w:numPr>
      </w:pPr>
      <w:r>
        <w:rPr>
          <w:rFonts w:hint="eastAsia"/>
        </w:rPr>
        <w:t xml:space="preserve">各当事者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22"/>
        </w:numPr>
      </w:pPr>
      <w:r>
        <w:rPr>
          <w:rFonts w:hint="eastAsia"/>
        </w:rPr>
        <w:t xml:space="preserve">前項の規定にかかわらず、以下の各号のいずれかに該当する情報は、秘密情報に該当しないものとする。</w:t>
      </w:r>
    </w:p>
    <w:p>
      <w:pPr>
        <w:pStyle w:val="Compact"/>
        <w:numPr>
          <w:ilvl w:val="1"/>
          <w:numId w:val="1023"/>
        </w:numPr>
      </w:pPr>
      <w:r>
        <w:rPr>
          <w:rFonts w:hint="eastAsia"/>
        </w:rPr>
        <w:t xml:space="preserve">開示の時点で既に公知である情報</w:t>
      </w:r>
    </w:p>
    <w:p>
      <w:pPr>
        <w:pStyle w:val="Compact"/>
        <w:numPr>
          <w:ilvl w:val="1"/>
          <w:numId w:val="1023"/>
        </w:numPr>
      </w:pPr>
      <w:r>
        <w:rPr>
          <w:rFonts w:hint="eastAsia"/>
        </w:rPr>
        <w:t xml:space="preserve">開示後に自己の責によらず公知となった情報</w:t>
      </w:r>
    </w:p>
    <w:p>
      <w:pPr>
        <w:pStyle w:val="Compact"/>
        <w:numPr>
          <w:ilvl w:val="1"/>
          <w:numId w:val="1023"/>
        </w:numPr>
      </w:pPr>
      <w:r>
        <w:rPr>
          <w:rFonts w:hint="eastAsia"/>
        </w:rPr>
        <w:t xml:space="preserve">開示の時点で既に自己が正当に保有していた情報</w:t>
      </w:r>
    </w:p>
    <w:p>
      <w:pPr>
        <w:pStyle w:val="Compact"/>
        <w:numPr>
          <w:ilvl w:val="1"/>
          <w:numId w:val="1023"/>
        </w:numPr>
      </w:pPr>
      <w:r>
        <w:rPr>
          <w:rFonts w:hint="eastAsia"/>
        </w:rPr>
        <w:t xml:space="preserve">正当な権限を有する第三者から守秘義務を負うことなく適法に取得した情報</w:t>
      </w:r>
    </w:p>
    <w:p>
      <w:pPr>
        <w:pStyle w:val="Compact"/>
        <w:numPr>
          <w:ilvl w:val="1"/>
          <w:numId w:val="1023"/>
        </w:numPr>
      </w:pPr>
      <w:r>
        <w:rPr>
          <w:rFonts w:hint="eastAsia"/>
        </w:rPr>
        <w:t xml:space="preserve">相手方から開示を受けた情報によらず独自に開発した情報</w:t>
      </w:r>
    </w:p>
    <w:p>
      <w:pPr>
        <w:pStyle w:val="Compact"/>
        <w:numPr>
          <w:ilvl w:val="0"/>
          <w:numId w:val="1022"/>
        </w:numPr>
      </w:pPr>
      <w:r>
        <w:rPr>
          <w:rFonts w:hint="eastAsia"/>
        </w:rPr>
        <w:t xml:space="preserve">投資家が、その投資家グループ内部(関連ファンド、運営会社の役職員、出資者であるLP等)に対し、本件会社に関する情報を、合理的に必要な範囲で共有することは、本条の違反とならない。</w:t>
      </w:r>
    </w:p>
    <w:p>
      <w:pPr>
        <w:pStyle w:val="Compact"/>
        <w:numPr>
          <w:ilvl w:val="0"/>
          <w:numId w:val="1022"/>
        </w:numPr>
      </w:pPr>
      <w:r>
        <w:rPr>
          <w:rFonts w:hint="eastAsia"/>
        </w:rPr>
        <w:t xml:space="preserve">本条の規定は、本契約終了後も[3]年間有効に存続する。</w:t>
      </w:r>
    </w:p>
    <w:p/>
    <w:p>
      <w:pPr>
        <w:pStyle w:val="Heading3"/>
      </w:pPr>
      <w:r>
        <w:rPr>
          <w:rFonts w:hint="eastAsia"/>
        </w:rPr>
        <w:t xml:space="preserve">第19条(表明保証)</w:t>
      </w:r>
    </w:p>
    <w:p>
      <w:pPr>
        <w:pStyle w:val="Compact"/>
        <w:numPr>
          <w:ilvl w:val="0"/>
          <w:numId w:val="1024"/>
        </w:numPr>
      </w:pPr>
      <w:r>
        <w:rPr>
          <w:rFonts w:hint="eastAsia"/>
        </w:rPr>
        <w:t xml:space="preserve">本件会社及び創業者は、本契約締結日において、以下の事項を投資家に対して表明し保証する。</w:t>
      </w:r>
    </w:p>
    <w:p>
      <w:pPr>
        <w:pStyle w:val="Compact"/>
        <w:numPr>
          <w:ilvl w:val="1"/>
          <w:numId w:val="1025"/>
        </w:numPr>
      </w:pPr>
      <w:r>
        <w:rPr>
          <w:rFonts w:hint="eastAsia"/>
        </w:rPr>
        <w:t xml:space="preserve">本件会社が適法に設立され、有効に存続していること</w:t>
      </w:r>
    </w:p>
    <w:p>
      <w:pPr>
        <w:pStyle w:val="Compact"/>
        <w:numPr>
          <w:ilvl w:val="1"/>
          <w:numId w:val="1025"/>
        </w:numPr>
      </w:pPr>
      <w:r>
        <w:rPr>
          <w:rFonts w:hint="eastAsia"/>
        </w:rPr>
        <w:t xml:space="preserve">本契約締結に必要な内部手続き(取締役会決議、株主総会決議等)が完了していること</w:t>
      </w:r>
    </w:p>
    <w:p>
      <w:pPr>
        <w:pStyle w:val="Compact"/>
        <w:numPr>
          <w:ilvl w:val="1"/>
          <w:numId w:val="1025"/>
        </w:numPr>
      </w:pPr>
      <w:r>
        <w:rPr>
          <w:rFonts w:hint="eastAsia"/>
        </w:rPr>
        <w:t xml:space="preserve">本件会社の重要な経営情報(財務状況、訴訟、知的財産権、契約関係等)に関し、投資家に提供した情報が真実かつ正確であること</w:t>
      </w:r>
    </w:p>
    <w:p>
      <w:pPr>
        <w:pStyle w:val="Compact"/>
        <w:numPr>
          <w:ilvl w:val="1"/>
          <w:numId w:val="1025"/>
        </w:numPr>
      </w:pPr>
      <w:r>
        <w:rPr>
          <w:rFonts w:hint="eastAsia"/>
        </w:rPr>
        <w:t xml:space="preserve">その他別紙表明保証事項に記載の事項</w:t>
      </w:r>
    </w:p>
    <w:p>
      <w:pPr>
        <w:pStyle w:val="Compact"/>
        <w:numPr>
          <w:ilvl w:val="0"/>
          <w:numId w:val="1024"/>
        </w:numPr>
      </w:pPr>
      <w:r>
        <w:rPr>
          <w:rFonts w:hint="eastAsia"/>
        </w:rPr>
        <w:t xml:space="preserve">表明保証違反が発覚した場合の取扱いは、投資契約書に従い、又は別途協議の上、合意して定める。</w:t>
      </w:r>
    </w:p>
    <w:p/>
    <w:p>
      <w:pPr>
        <w:pStyle w:val="Heading3"/>
      </w:pPr>
      <w:r>
        <w:rPr>
          <w:rFonts w:hint="eastAsia"/>
        </w:rPr>
        <w:t xml:space="preserve">第20条(反社会的勢力の排除)</w:t>
      </w:r>
    </w:p>
    <w:p>
      <w:pPr>
        <w:pStyle w:val="Compact"/>
        <w:numPr>
          <w:ilvl w:val="0"/>
          <w:numId w:val="1026"/>
        </w:numPr>
      </w:pPr>
      <w:r>
        <w:rPr>
          <w:rFonts w:hint="eastAsia"/>
        </w:rPr>
        <w:t xml:space="preserve">各当事者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6"/>
        </w:numPr>
      </w:pPr>
      <w:r>
        <w:rPr>
          <w:rFonts w:hint="eastAsia"/>
        </w:rPr>
        <w:t xml:space="preserve">いずれかの当事者が前項に違反した場合、他の当事者は、何らの催告を要せず、当該違反当事者に対する本契約上の権利義務に関し、本契約を解除することができる。</w:t>
      </w:r>
    </w:p>
    <w:p/>
    <w:p>
      <w:pPr>
        <w:pStyle w:val="Heading3"/>
      </w:pPr>
      <w:r>
        <w:rPr>
          <w:rFonts w:hint="eastAsia"/>
        </w:rPr>
        <w:t xml:space="preserve">第21条(契約期間及び終了)</w:t>
      </w:r>
    </w:p>
    <w:p>
      <w:pPr>
        <w:pStyle w:val="Compact"/>
        <w:numPr>
          <w:ilvl w:val="0"/>
          <w:numId w:val="1027"/>
        </w:numPr>
      </w:pPr>
      <w:r>
        <w:rPr>
          <w:rFonts w:hint="eastAsia"/>
        </w:rPr>
        <w:t xml:space="preserve">本契約は、本契約締結日に効力を生じ、以下のいずれかの事由が発生するまで継続する。</w:t>
      </w:r>
    </w:p>
    <w:p>
      <w:pPr>
        <w:pStyle w:val="Compact"/>
        <w:numPr>
          <w:ilvl w:val="1"/>
          <w:numId w:val="1028"/>
        </w:numPr>
      </w:pPr>
      <w:r>
        <w:rPr>
          <w:rFonts w:hint="eastAsia"/>
        </w:rPr>
        <w:t xml:space="preserve">本件会社のIPO達成</w:t>
      </w:r>
    </w:p>
    <w:p>
      <w:pPr>
        <w:pStyle w:val="Compact"/>
        <w:numPr>
          <w:ilvl w:val="1"/>
          <w:numId w:val="1028"/>
        </w:numPr>
      </w:pPr>
      <w:r>
        <w:rPr>
          <w:rFonts w:hint="eastAsia"/>
        </w:rPr>
        <w:t xml:space="preserve">投資家又は創業者の全員が本件株式を譲渡し、株主としての地位を喪失したとき</w:t>
      </w:r>
    </w:p>
    <w:p>
      <w:pPr>
        <w:pStyle w:val="Compact"/>
        <w:numPr>
          <w:ilvl w:val="1"/>
          <w:numId w:val="1028"/>
        </w:numPr>
      </w:pPr>
      <w:r>
        <w:rPr>
          <w:rFonts w:hint="eastAsia"/>
        </w:rPr>
        <w:t xml:space="preserve">当事者全員の合意による終了</w:t>
      </w:r>
    </w:p>
    <w:p>
      <w:pPr>
        <w:pStyle w:val="Compact"/>
        <w:numPr>
          <w:ilvl w:val="1"/>
          <w:numId w:val="1028"/>
        </w:numPr>
      </w:pPr>
      <w:r>
        <w:rPr>
          <w:rFonts w:hint="eastAsia"/>
        </w:rPr>
        <w:t xml:space="preserve">本件会社の解散、清算</w:t>
      </w:r>
    </w:p>
    <w:p>
      <w:pPr>
        <w:pStyle w:val="Compact"/>
        <w:numPr>
          <w:ilvl w:val="0"/>
          <w:numId w:val="1027"/>
        </w:numPr>
      </w:pPr>
      <w:r>
        <w:rPr>
          <w:rFonts w:hint="eastAsia"/>
        </w:rPr>
        <w:t xml:space="preserve">本契約終了後も、第18条(秘密保持)、第22条(損害賠償)、第24条(合意管轄)及び第25条(協議事項)の規定は引き続き有効とする。</w:t>
      </w:r>
    </w:p>
    <w:p>
      <w:pPr>
        <w:pStyle w:val="Compact"/>
        <w:numPr>
          <w:ilvl w:val="0"/>
          <w:numId w:val="1027"/>
        </w:numPr>
      </w:pPr>
      <w:r>
        <w:rPr>
          <w:rFonts w:hint="eastAsia"/>
        </w:rPr>
        <w:t xml:space="preserve">個別の当事者が本契約上の地位を喪失した場合(株式譲渡による退場等)、当該当事者は、本契約上の権利義務を失う。ただし、退場前に発生した義務(秘密保持、損害賠償等)は引き続き存続する。</w:t>
      </w:r>
    </w:p>
    <w:p/>
    <w:p>
      <w:pPr>
        <w:pStyle w:val="Heading3"/>
      </w:pPr>
      <w:r>
        <w:rPr>
          <w:rFonts w:hint="eastAsia"/>
        </w:rPr>
        <w:t xml:space="preserve">第22条(損害賠償)</w:t>
      </w:r>
    </w:p>
    <w:p>
      <w:pPr>
        <w:pStyle w:val="Compact"/>
        <w:numPr>
          <w:ilvl w:val="0"/>
          <w:numId w:val="1029"/>
        </w:numPr>
      </w:pPr>
      <w:r>
        <w:rPr>
          <w:rFonts w:hint="eastAsia"/>
        </w:rPr>
        <w:t xml:space="preserve">各当事者は、自己の責に帰すべき事由により本契約に違反し、他の当事者に損害を与えた場合、当該損害を賠償する責任を負う。</w:t>
      </w:r>
    </w:p>
    <w:p>
      <w:pPr>
        <w:pStyle w:val="Compact"/>
        <w:numPr>
          <w:ilvl w:val="0"/>
          <w:numId w:val="1029"/>
        </w:numPr>
      </w:pPr>
      <w:r>
        <w:rPr>
          <w:rFonts w:hint="eastAsia"/>
        </w:rPr>
        <w:t xml:space="preserve">損害賠償の範囲及び上限は、契約違反の内容・程度に応じて、別途協議の上、合意して定める。</w:t>
      </w:r>
    </w:p>
    <w:p/>
    <w:p>
      <w:pPr>
        <w:pStyle w:val="Heading3"/>
      </w:pPr>
      <w:r>
        <w:rPr>
          <w:rFonts w:hint="eastAsia"/>
        </w:rPr>
        <w:t xml:space="preserve">第23条(権利義務の譲渡)</w:t>
      </w:r>
    </w:p>
    <w:p>
      <w:pPr>
        <w:pStyle w:val="Compact"/>
        <w:numPr>
          <w:ilvl w:val="0"/>
          <w:numId w:val="1030"/>
        </w:numPr>
      </w:pPr>
      <w:r>
        <w:rPr>
          <w:rFonts w:hint="eastAsia"/>
        </w:rPr>
        <w:t xml:space="preserve">各当事者は、他の当事者の事前の書面又は電磁的方法による承諾なく、本契約上の地位又は本契約に基づく権利義務の全部又は一部を、第三者に譲渡し、承継させ、又は担保に供してはならない。</w:t>
      </w:r>
    </w:p>
    <w:p>
      <w:pPr>
        <w:pStyle w:val="Compact"/>
        <w:numPr>
          <w:ilvl w:val="0"/>
          <w:numId w:val="1030"/>
        </w:numPr>
      </w:pPr>
      <w:r>
        <w:rPr>
          <w:rFonts w:hint="eastAsia"/>
        </w:rPr>
        <w:t xml:space="preserve">前項にかかわらず、投資家は、自己が所属する投資家グループ内部での権利義務の承継(ファンドの再編、関連ファンド間の譲渡等)を行うことができる。この場合、投資家は他の当事者にその旨を書面又は電磁的方法により通知する。</w:t>
      </w:r>
    </w:p>
    <w:p/>
    <w:p>
      <w:pPr>
        <w:pStyle w:val="Heading3"/>
      </w:pPr>
      <w:r>
        <w:rPr>
          <w:rFonts w:hint="eastAsia"/>
        </w:rPr>
        <w:t xml:space="preserve">第24条(合意管轄)</w:t>
      </w:r>
    </w:p>
    <w:p>
      <w:pPr>
        <w:pStyle w:val="FirstParagraph"/>
      </w:pPr>
      <w:r>
        <w:rPr>
          <w:rFonts w:hint="eastAsia"/>
        </w:rPr>
        <w:t xml:space="preserve">本契約に関して当事者間に生じた一切の紛争については、[本件会社の本店所在地]を管轄する地方裁判所を第一審の専属的合意管轄裁判所とする。</w:t>
      </w:r>
    </w:p>
    <w:p/>
    <w:p>
      <w:pPr>
        <w:pStyle w:val="Heading3"/>
      </w:pPr>
      <w:r>
        <w:rPr>
          <w:rFonts w:hint="eastAsia"/>
        </w:rPr>
        <w:t xml:space="preserve">第25条(協議事項)</w:t>
      </w:r>
    </w:p>
    <w:p>
      <w:pPr>
        <w:pStyle w:val="FirstParagraph"/>
      </w:pPr>
      <w:r>
        <w:rPr>
          <w:rFonts w:hint="eastAsia"/>
        </w:rPr>
        <w:t xml:space="preserve">本契約に定めのない事項又は本契約の解釈につき疑義が生じた事項については、各当事者誠実に協議の上、解決するものとする。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本契約締結の証として、本書を当事者の数だけ作成し、各当事者記名押印の上、各自1通を保有する。</w:t>
      </w:r>
      <w:r>
        <w:t xml:space="preserve"> </w:t>
      </w:r>
      <w:r>
        <w:rPr>
          <w:rFonts w:hint="eastAsia"/>
        </w:rPr>
        <w:t xml:space="preserve">(電子契約により締結する場合は、電磁的記録を作成し、各当事者が電子署名を行うものとする。)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投資家</w:t>
      </w:r>
      <w:r>
        <w:t xml:space="preserve"> </w:t>
      </w:r>
      <w:r>
        <w:rPr>
          <w:rFonts w:hint="eastAsia"/>
        </w:rPr>
        <w:t xml:space="preserve">住所:[甲の所在地]</w:t>
      </w:r>
      <w:r>
        <w:t xml:space="preserve"> </w:t>
      </w:r>
      <w:r>
        <w:rPr>
          <w:rFonts w:hint="eastAsia"/>
        </w:rPr>
        <w:t xml:space="preserve">名称:[甲の正式名称(例:○○キャピタル株式会社)]</w:t>
      </w:r>
      <w:r>
        <w:t xml:space="preserve"> </w:t>
      </w:r>
      <w:r>
        <w:rPr>
          <w:rFonts w:hint="eastAsia"/>
        </w:rPr>
        <w:t xml:space="preserve">代表者:[役職</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創業者・既存株主</w:t>
      </w:r>
      <w:r>
        <w:t xml:space="preserve"> </w:t>
      </w:r>
      <w:r>
        <w:rPr>
          <w:rFonts w:hint="eastAsia"/>
        </w:rPr>
        <w:t xml:space="preserve">住所:[乙の住所]</w:t>
      </w:r>
      <w:r>
        <w:t xml:space="preserve"> </w:t>
      </w:r>
      <w:r>
        <w:rPr>
          <w:rFonts w:hint="eastAsia"/>
        </w:rPr>
        <w:t xml:space="preserve">氏名:[乙の氏名]</w:t>
      </w:r>
      <w:r>
        <w:t xml:space="preserve"> </w:t>
      </w:r>
      <w:r>
        <w:rPr>
          <w:rFonts w:hint="eastAsia"/>
        </w:rPr>
        <w:t xml:space="preserve">印</w:t>
      </w:r>
    </w:p>
    <w:p>
      <w:pPr>
        <w:pStyle w:val="BodyText"/>
      </w:pPr>
      <w:r>
        <w:rPr>
          <w:rFonts w:hint="eastAsia"/>
          <w:b/>
          <w:bCs/>
        </w:rPr>
        <w:t xml:space="preserve">(本件会社)</w:t>
      </w:r>
      <w:r>
        <w:t xml:space="preserve"> </w:t>
      </w:r>
      <w:r>
        <w:rPr>
          <w:rFonts w:hint="eastAsia"/>
        </w:rPr>
        <w:t xml:space="preserve">住所:[本件会社の本店所在地]</w:t>
      </w:r>
      <w:r>
        <w:t xml:space="preserve"> </w:t>
      </w:r>
      <w:r>
        <w:rPr>
          <w:rFonts w:hint="eastAsia"/>
        </w:rPr>
        <w:t xml:space="preserve">名称:[本件会社の正式名称]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(複数の投資家・複数の創業者が当事者となる場合は、各当事者の記名押印欄を追加する。)</w:t>
      </w:r>
    </w:p>
    <w:p/>
    <w:p>
      <w:pPr>
        <w:pStyle w:val="Heading2"/>
      </w:pPr>
      <w:r>
        <w:rPr>
          <w:rFonts w:hint="eastAsia"/>
        </w:rPr>
        <w:t xml:space="preserve">別紙1:表明保証事項(参考フォーマット)</w:t>
      </w:r>
    </w:p>
    <w:p>
      <w:pPr>
        <w:pStyle w:val="FirstParagraph"/>
      </w:pPr>
      <w:r>
        <w:rPr>
          <w:rFonts w:hint="eastAsia"/>
        </w:rPr>
        <w:t xml:space="preserve">本契約第19条に基づき、本件会社及び創業者が表明・保証する事項を以下のとおり定める。</w:t>
      </w:r>
    </w:p>
    <w:p/>
    <w:p>
      <w:pPr>
        <w:pStyle w:val="Heading3"/>
      </w:pPr>
      <w:r>
        <w:t xml:space="preserve">1. </w:t>
      </w:r>
      <w:r>
        <w:rPr>
          <w:rFonts w:hint="eastAsia"/>
        </w:rPr>
        <w:t xml:space="preserve">本件会社の組織に関する事項</w:t>
      </w:r>
    </w:p>
    <w:p>
      <w:pPr>
        <w:pStyle w:val="Compact"/>
        <w:numPr>
          <w:ilvl w:val="0"/>
          <w:numId w:val="1031"/>
        </w:numPr>
      </w:pPr>
      <w:r>
        <w:rPr>
          <w:rFonts w:hint="eastAsia"/>
        </w:rPr>
        <w:t xml:space="preserve">適法な設立及び存続</w:t>
      </w:r>
    </w:p>
    <w:p>
      <w:pPr>
        <w:pStyle w:val="Compact"/>
        <w:numPr>
          <w:ilvl w:val="0"/>
          <w:numId w:val="1031"/>
        </w:numPr>
      </w:pPr>
      <w:r>
        <w:rPr>
          <w:rFonts w:hint="eastAsia"/>
        </w:rPr>
        <w:t xml:space="preserve">定款の有効性</w:t>
      </w:r>
    </w:p>
    <w:p>
      <w:pPr>
        <w:pStyle w:val="Compact"/>
        <w:numPr>
          <w:ilvl w:val="0"/>
          <w:numId w:val="1031"/>
        </w:numPr>
      </w:pPr>
      <w:r>
        <w:rPr>
          <w:rFonts w:hint="eastAsia"/>
        </w:rPr>
        <w:t xml:space="preserve">必要な許認可の取得</w:t>
      </w:r>
    </w:p>
    <w:p/>
    <w:p>
      <w:pPr>
        <w:pStyle w:val="Heading3"/>
      </w:pPr>
      <w:r>
        <w:t xml:space="preserve">2. </w:t>
      </w:r>
      <w:r>
        <w:rPr>
          <w:rFonts w:hint="eastAsia"/>
        </w:rPr>
        <w:t xml:space="preserve">本件株式に関する事項</w:t>
      </w:r>
    </w:p>
    <w:p>
      <w:pPr>
        <w:pStyle w:val="Compact"/>
        <w:numPr>
          <w:ilvl w:val="0"/>
          <w:numId w:val="1032"/>
        </w:numPr>
      </w:pPr>
      <w:r>
        <w:rPr>
          <w:rFonts w:hint="eastAsia"/>
        </w:rPr>
        <w:t xml:space="preserve">発行済株式数の正確性</w:t>
      </w:r>
    </w:p>
    <w:p>
      <w:pPr>
        <w:pStyle w:val="Compact"/>
        <w:numPr>
          <w:ilvl w:val="0"/>
          <w:numId w:val="1032"/>
        </w:numPr>
      </w:pPr>
      <w:r>
        <w:rPr>
          <w:rFonts w:hint="eastAsia"/>
        </w:rPr>
        <w:t xml:space="preserve">株式の有効な発行</w:t>
      </w:r>
    </w:p>
    <w:p>
      <w:pPr>
        <w:pStyle w:val="Compact"/>
        <w:numPr>
          <w:ilvl w:val="0"/>
          <w:numId w:val="1032"/>
        </w:numPr>
      </w:pPr>
      <w:r>
        <w:rPr>
          <w:rFonts w:hint="eastAsia"/>
        </w:rPr>
        <w:t xml:space="preserve">譲渡制限・担保設定等の状況</w:t>
      </w:r>
    </w:p>
    <w:p/>
    <w:p>
      <w:pPr>
        <w:pStyle w:val="Heading3"/>
      </w:pPr>
      <w:r>
        <w:t xml:space="preserve">3. </w:t>
      </w:r>
      <w:r>
        <w:rPr>
          <w:rFonts w:hint="eastAsia"/>
        </w:rPr>
        <w:t xml:space="preserve">財務情報に関する事項</w:t>
      </w:r>
    </w:p>
    <w:p>
      <w:pPr>
        <w:pStyle w:val="Compact"/>
        <w:numPr>
          <w:ilvl w:val="0"/>
          <w:numId w:val="1033"/>
        </w:numPr>
      </w:pPr>
      <w:r>
        <w:rPr>
          <w:rFonts w:hint="eastAsia"/>
        </w:rPr>
        <w:t xml:space="preserve">投資家に提供した財務情報の真実性・正確性</w:t>
      </w:r>
    </w:p>
    <w:p>
      <w:pPr>
        <w:pStyle w:val="Compact"/>
        <w:numPr>
          <w:ilvl w:val="0"/>
          <w:numId w:val="1033"/>
        </w:numPr>
      </w:pPr>
      <w:r>
        <w:rPr>
          <w:rFonts w:hint="eastAsia"/>
        </w:rPr>
        <w:t xml:space="preserve">開示されていない重要な債務・偶発債務の不存在</w:t>
      </w:r>
    </w:p>
    <w:p/>
    <w:p>
      <w:pPr>
        <w:pStyle w:val="Heading3"/>
      </w:pPr>
      <w:r>
        <w:t xml:space="preserve">4. </w:t>
      </w:r>
      <w:r>
        <w:rPr>
          <w:rFonts w:hint="eastAsia"/>
        </w:rPr>
        <w:t xml:space="preserve">知的財産権に関する事項</w:t>
      </w:r>
    </w:p>
    <w:p>
      <w:pPr>
        <w:pStyle w:val="Compact"/>
        <w:numPr>
          <w:ilvl w:val="0"/>
          <w:numId w:val="1034"/>
        </w:numPr>
      </w:pPr>
      <w:r>
        <w:rPr>
          <w:rFonts w:hint="eastAsia"/>
        </w:rPr>
        <w:t xml:space="preserve">本件会社の事業に必要な知的財産権の保有状況</w:t>
      </w:r>
    </w:p>
    <w:p>
      <w:pPr>
        <w:pStyle w:val="Compact"/>
        <w:numPr>
          <w:ilvl w:val="0"/>
          <w:numId w:val="1034"/>
        </w:numPr>
      </w:pPr>
      <w:r>
        <w:rPr>
          <w:rFonts w:hint="eastAsia"/>
        </w:rPr>
        <w:t xml:space="preserve">第三者の知的財産権を侵害していないこと</w:t>
      </w:r>
    </w:p>
    <w:p/>
    <w:p>
      <w:pPr>
        <w:pStyle w:val="Heading3"/>
      </w:pPr>
      <w:r>
        <w:t xml:space="preserve">5. </w:t>
      </w:r>
      <w:r>
        <w:rPr>
          <w:rFonts w:hint="eastAsia"/>
        </w:rPr>
        <w:t xml:space="preserve">訴訟・紛争に関する事項</w:t>
      </w:r>
    </w:p>
    <w:p>
      <w:pPr>
        <w:pStyle w:val="Compact"/>
        <w:numPr>
          <w:ilvl w:val="0"/>
          <w:numId w:val="1035"/>
        </w:numPr>
      </w:pPr>
      <w:r>
        <w:rPr>
          <w:rFonts w:hint="eastAsia"/>
        </w:rPr>
        <w:t xml:space="preserve">重要な訴訟・紛争の不存在又は適切な開示</w:t>
      </w:r>
    </w:p>
    <w:p/>
    <w:p>
      <w:pPr>
        <w:pStyle w:val="Heading3"/>
      </w:pPr>
      <w:r>
        <w:t xml:space="preserve">6. </w:t>
      </w:r>
      <w:r>
        <w:rPr>
          <w:rFonts w:hint="eastAsia"/>
        </w:rPr>
        <w:t xml:space="preserve">重要な契約に関する事項</w:t>
      </w:r>
    </w:p>
    <w:p>
      <w:pPr>
        <w:pStyle w:val="Compact"/>
        <w:numPr>
          <w:ilvl w:val="0"/>
          <w:numId w:val="1036"/>
        </w:numPr>
      </w:pPr>
      <w:r>
        <w:rPr>
          <w:rFonts w:hint="eastAsia"/>
        </w:rPr>
        <w:t xml:space="preserve">重要な契約の有効性</w:t>
      </w:r>
    </w:p>
    <w:p>
      <w:pPr>
        <w:pStyle w:val="Compact"/>
        <w:numPr>
          <w:ilvl w:val="0"/>
          <w:numId w:val="1036"/>
        </w:numPr>
      </w:pPr>
      <w:r>
        <w:rPr>
          <w:rFonts w:hint="eastAsia"/>
        </w:rPr>
        <w:t xml:space="preserve">重要な契約の違反の不存在</w:t>
      </w:r>
    </w:p>
    <w:p/>
    <w:p>
      <w:pPr>
        <w:pStyle w:val="Heading3"/>
      </w:pPr>
      <w:r>
        <w:t xml:space="preserve">7. </w:t>
      </w:r>
      <w:r>
        <w:rPr>
          <w:rFonts w:hint="eastAsia"/>
        </w:rPr>
        <w:t xml:space="preserve">労務に関する事項</w:t>
      </w:r>
    </w:p>
    <w:p>
      <w:pPr>
        <w:pStyle w:val="Compact"/>
        <w:numPr>
          <w:ilvl w:val="0"/>
          <w:numId w:val="1037"/>
        </w:numPr>
      </w:pPr>
      <w:r>
        <w:rPr>
          <w:rFonts w:hint="eastAsia"/>
        </w:rPr>
        <w:t xml:space="preserve">労働関係法令の遵守</w:t>
      </w:r>
    </w:p>
    <w:p>
      <w:pPr>
        <w:pStyle w:val="Compact"/>
        <w:numPr>
          <w:ilvl w:val="0"/>
          <w:numId w:val="1037"/>
        </w:numPr>
      </w:pPr>
      <w:r>
        <w:rPr>
          <w:rFonts w:hint="eastAsia"/>
        </w:rPr>
        <w:t xml:space="preserve">重大な労働紛争の不存在</w:t>
      </w:r>
    </w:p>
    <w:p/>
    <w:p>
      <w:pPr>
        <w:pStyle w:val="Heading3"/>
      </w:pPr>
      <w:r>
        <w:t xml:space="preserve">8. </w:t>
      </w:r>
      <w:r>
        <w:rPr>
          <w:rFonts w:hint="eastAsia"/>
        </w:rPr>
        <w:t xml:space="preserve">反社会的勢力に関する事項</w:t>
      </w:r>
    </w:p>
    <w:p>
      <w:pPr>
        <w:pStyle w:val="Compact"/>
        <w:numPr>
          <w:ilvl w:val="0"/>
          <w:numId w:val="1038"/>
        </w:numPr>
      </w:pPr>
      <w:r>
        <w:rPr>
          <w:rFonts w:hint="eastAsia"/>
        </w:rPr>
        <w:t xml:space="preserve">反社会的勢力との関係の不存在</w:t>
      </w:r>
    </w:p>
    <w:p/>
    <w:p>
      <w:pPr>
        <w:pStyle w:val="Heading2"/>
      </w:pPr>
      <w:r>
        <w:rPr>
          <w:rFonts w:hint="eastAsia"/>
        </w:rPr>
        <w:t xml:space="preserve">別紙2:希薄化防止計算式(参考)</w:t>
      </w:r>
    </w:p>
    <w:p>
      <w:pPr>
        <w:pStyle w:val="FirstParagraph"/>
      </w:pPr>
      <w:r>
        <w:rPr>
          <w:rFonts w:hint="eastAsia"/>
        </w:rPr>
        <w:t xml:space="preserve">本契約第11条に基づく希薄化防止条項の調整計算式は、以下のとおり(加重平均方式の例)。</w:t>
      </w:r>
    </w:p>
    <w:p/>
    <w:p>
      <w:pPr>
        <w:pStyle w:val="Heading3"/>
      </w:pPr>
      <w:r>
        <w:rPr>
          <w:rFonts w:hint="eastAsia"/>
        </w:rPr>
        <w:t xml:space="preserve">加重平均方式(ナローベース)による調整後取得価格の計算式</w:t>
      </w:r>
    </w:p>
    <w:p>
      <w:pPr>
        <w:pStyle w:val="SourceCode"/>
      </w:pPr>
      <w:r>
        <w:rPr>
          <w:rStyle w:val="VerbatimChar"/>
          <w:rFonts w:hint="eastAsia"/>
        </w:rPr>
        <w:t xml:space="preserve">調整後取得価格</w:t>
      </w:r>
      <w:r>
        <w:rPr>
          <w:rStyle w:val="VerbatimChar"/>
        </w:rPr>
        <w:t xml:space="preserve"> = </w:t>
      </w:r>
      <w:r>
        <w:rPr>
          <w:rStyle w:val="VerbatimChar"/>
          <w:rFonts w:hint="eastAsia"/>
        </w:rPr>
        <w:t xml:space="preserve">直近取得価格</w:t>
      </w:r>
      <w:r>
        <w:rPr>
          <w:rStyle w:val="VerbatimChar"/>
        </w:rPr>
        <w:t xml:space="preserve"> </w:t>
      </w:r>
      <w:r>
        <w:rPr>
          <w:rStyle w:val="VerbatimChar"/>
          <w:rFonts w:hint="eastAsia"/>
        </w:rPr>
        <w:t xml:space="preserve">×（（A</w:t>
      </w:r>
      <w:r>
        <w:rPr>
          <w:rStyle w:val="VerbatimChar"/>
        </w:rPr>
        <w:t xml:space="preserve"> + </w:t>
      </w:r>
      <w:r>
        <w:rPr>
          <w:rStyle w:val="VerbatimChar"/>
          <w:rFonts w:hint="eastAsia"/>
        </w:rPr>
        <w:t xml:space="preserve">B）÷（A</w:t>
      </w:r>
      <w:r>
        <w:rPr>
          <w:rStyle w:val="VerbatimChar"/>
        </w:rPr>
        <w:t xml:space="preserve"> + </w:t>
      </w:r>
      <w:r>
        <w:rPr>
          <w:rStyle w:val="VerbatimChar"/>
          <w:rFonts w:hint="eastAsia"/>
        </w:rPr>
        <w:t xml:space="preserve">C））</w:t>
      </w:r>
      <w:r>
        <w:br/>
      </w:r>
      <w:r>
        <w:br/>
      </w:r>
      <w:r>
        <w:rPr>
          <w:rStyle w:val="VerbatimChar"/>
        </w:rPr>
        <w:t xml:space="preserve">A = </w:t>
      </w:r>
      <w:r>
        <w:rPr>
          <w:rStyle w:val="VerbatimChar"/>
          <w:rFonts w:hint="eastAsia"/>
        </w:rPr>
        <w:t xml:space="preserve">希薄化事由発生直前の既発行株式数(普通株式換算ベース)</w:t>
      </w:r>
      <w:r>
        <w:br/>
      </w:r>
      <w:r>
        <w:rPr>
          <w:rStyle w:val="VerbatimChar"/>
        </w:rPr>
        <w:t xml:space="preserve">B = </w:t>
      </w:r>
      <w:r>
        <w:rPr>
          <w:rStyle w:val="VerbatimChar"/>
          <w:rFonts w:hint="eastAsia"/>
        </w:rPr>
        <w:t xml:space="preserve">新規発行による対価総額</w:t>
      </w:r>
      <w:r>
        <w:rPr>
          <w:rStyle w:val="VerbatimChar"/>
        </w:rPr>
        <w:t xml:space="preserve"> ÷ </w:t>
      </w:r>
      <w:r>
        <w:rPr>
          <w:rStyle w:val="VerbatimChar"/>
          <w:rFonts w:hint="eastAsia"/>
        </w:rPr>
        <w:t xml:space="preserve">直近取得価格</w:t>
      </w:r>
      <w:r>
        <w:br/>
      </w:r>
      <w:r>
        <w:rPr>
          <w:rStyle w:val="VerbatimChar"/>
        </w:rPr>
        <w:t xml:space="preserve">C = </w:t>
      </w:r>
      <w:r>
        <w:rPr>
          <w:rStyle w:val="VerbatimChar"/>
          <w:rFonts w:hint="eastAsia"/>
        </w:rPr>
        <w:t xml:space="preserve">新規発行株式数(普通株式換算ベース)</w:t>
      </w:r>
    </w:p>
    <w:p/>
    <w:p>
      <w:pPr>
        <w:pStyle w:val="Heading3"/>
      </w:pPr>
      <w:r>
        <w:rPr>
          <w:rFonts w:hint="eastAsia"/>
        </w:rPr>
        <w:t xml:space="preserve">計算例</w:t>
      </w:r>
    </w:p>
    <w:p>
      <w:pPr>
        <w:pStyle w:val="FirstParagraph"/>
      </w:pPr>
      <w:r>
        <w:rPr>
          <w:rFonts w:hint="eastAsia"/>
          <w:b/>
          <w:bCs/>
        </w:rPr>
        <w:t xml:space="preserve">前提</w:t>
      </w:r>
      <w:r>
        <w:t xml:space="preserve">:</w:t>
      </w:r>
      <w:r>
        <w:t xml:space="preserve"> </w:t>
      </w:r>
      <w:r>
        <w:t xml:space="preserve">- </w:t>
      </w:r>
      <w:r>
        <w:rPr>
          <w:rFonts w:hint="eastAsia"/>
        </w:rPr>
        <w:t xml:space="preserve">既発行株式数</w:t>
      </w:r>
      <w:r>
        <w:t xml:space="preserve"> A = </w:t>
      </w:r>
      <w:r>
        <w:rPr>
          <w:rFonts w:hint="eastAsia"/>
        </w:rPr>
        <w:t xml:space="preserve">10,000株</w:t>
      </w:r>
      <w:r>
        <w:t xml:space="preserve"> </w:t>
      </w:r>
      <w:r>
        <w:t xml:space="preserve">- </w:t>
      </w:r>
      <w:r>
        <w:rPr>
          <w:rFonts w:hint="eastAsia"/>
        </w:rPr>
        <w:t xml:space="preserve">直近取得価格</w:t>
      </w:r>
      <w:r>
        <w:t xml:space="preserve"> = </w:t>
      </w:r>
      <w:r>
        <w:rPr>
          <w:rFonts w:hint="eastAsia"/>
        </w:rPr>
        <w:t xml:space="preserve">100,000円/株</w:t>
      </w:r>
      <w:r>
        <w:t xml:space="preserve"> </w:t>
      </w:r>
      <w:r>
        <w:t xml:space="preserve">- </w:t>
      </w:r>
      <w:r>
        <w:rPr>
          <w:rFonts w:hint="eastAsia"/>
        </w:rPr>
        <w:t xml:space="preserve">新規発行株式数</w:t>
      </w:r>
      <w:r>
        <w:t xml:space="preserve"> C = </w:t>
      </w:r>
      <w:r>
        <w:rPr>
          <w:rFonts w:hint="eastAsia"/>
        </w:rPr>
        <w:t xml:space="preserve">1,000株</w:t>
      </w:r>
      <w:r>
        <w:t xml:space="preserve"> </w:t>
      </w:r>
      <w:r>
        <w:t xml:space="preserve">- </w:t>
      </w:r>
      <w:r>
        <w:rPr>
          <w:rFonts w:hint="eastAsia"/>
        </w:rPr>
        <w:t xml:space="preserve">新規発行価格</w:t>
      </w:r>
      <w:r>
        <w:t xml:space="preserve"> = </w:t>
      </w:r>
      <w:r>
        <w:rPr>
          <w:rFonts w:hint="eastAsia"/>
        </w:rPr>
        <w:t xml:space="preserve">50,000円/株</w:t>
      </w:r>
      <w:r>
        <w:t xml:space="preserve"> </w:t>
      </w:r>
      <w:r>
        <w:t xml:space="preserve">- </w:t>
      </w:r>
      <w:r>
        <w:rPr>
          <w:rFonts w:hint="eastAsia"/>
        </w:rPr>
        <w:t xml:space="preserve">新規発行対価総額</w:t>
      </w:r>
      <w:r>
        <w:t xml:space="preserve"> = </w:t>
      </w:r>
      <w:r>
        <w:rPr>
          <w:rFonts w:hint="eastAsia"/>
        </w:rPr>
        <w:t xml:space="preserve">50,000円</w:t>
      </w:r>
      <w:r>
        <w:t xml:space="preserve"> × </w:t>
      </w:r>
      <w:r>
        <w:rPr>
          <w:rFonts w:hint="eastAsia"/>
        </w:rPr>
        <w:t xml:space="preserve">1,000株</w:t>
      </w:r>
      <w:r>
        <w:t xml:space="preserve"> = </w:t>
      </w:r>
      <w:r>
        <w:rPr>
          <w:rFonts w:hint="eastAsia"/>
        </w:rPr>
        <w:t xml:space="preserve">50,000,000円</w:t>
      </w:r>
      <w:r>
        <w:t xml:space="preserve"> </w:t>
      </w:r>
      <w:r>
        <w:t xml:space="preserve">- B = </w:t>
      </w:r>
      <w:r>
        <w:rPr>
          <w:rFonts w:hint="eastAsia"/>
        </w:rPr>
        <w:t xml:space="preserve">50,000,000円</w:t>
      </w:r>
      <w:r>
        <w:t xml:space="preserve"> ÷ </w:t>
      </w:r>
      <w:r>
        <w:rPr>
          <w:rFonts w:hint="eastAsia"/>
        </w:rPr>
        <w:t xml:space="preserve">100,000円</w:t>
      </w:r>
      <w:r>
        <w:t xml:space="preserve"> = </w:t>
      </w:r>
      <w:r>
        <w:rPr>
          <w:rFonts w:hint="eastAsia"/>
        </w:rPr>
        <w:t xml:space="preserve">500株</w:t>
      </w:r>
    </w:p>
    <w:p>
      <w:pPr>
        <w:pStyle w:val="BodyText"/>
      </w:pPr>
      <w:r>
        <w:rPr>
          <w:rFonts w:hint="eastAsia"/>
          <w:b/>
          <w:bCs/>
        </w:rPr>
        <w:t xml:space="preserve">計算</w:t>
      </w:r>
      <w:r>
        <w:t xml:space="preserve">:</w:t>
      </w:r>
      <w:r>
        <w:t xml:space="preserve"> </w:t>
      </w:r>
      <w:r>
        <w:t xml:space="preserve">- </w:t>
      </w:r>
      <w:r>
        <w:rPr>
          <w:rFonts w:hint="eastAsia"/>
        </w:rPr>
        <w:t xml:space="preserve">調整後取得価格</w:t>
      </w:r>
      <w:r>
        <w:t xml:space="preserve"> = </w:t>
      </w:r>
      <w:r>
        <w:rPr>
          <w:rFonts w:hint="eastAsia"/>
        </w:rPr>
        <w:t xml:space="preserve">100,000円</w:t>
      </w:r>
      <w:r>
        <w:t xml:space="preserve"> </w:t>
      </w:r>
      <w:r>
        <w:rPr>
          <w:rFonts w:hint="eastAsia"/>
        </w:rPr>
        <w:t xml:space="preserve">×（（10,000</w:t>
      </w:r>
      <w:r>
        <w:t xml:space="preserve"> + </w:t>
      </w:r>
      <w:r>
        <w:rPr>
          <w:rFonts w:hint="eastAsia"/>
        </w:rPr>
        <w:t xml:space="preserve">500）÷（10,000</w:t>
      </w:r>
      <w:r>
        <w:t xml:space="preserve"> + </w:t>
      </w:r>
      <w:r>
        <w:rPr>
          <w:rFonts w:hint="eastAsia"/>
        </w:rPr>
        <w:t xml:space="preserve">1,000））</w:t>
      </w:r>
      <w:r>
        <w:t xml:space="preserve"> </w:t>
      </w:r>
      <w:r>
        <w:t xml:space="preserve">- </w:t>
      </w:r>
      <w:r>
        <w:rPr>
          <w:rFonts w:hint="eastAsia"/>
        </w:rPr>
        <w:t xml:space="preserve">調整後取得価格</w:t>
      </w:r>
      <w:r>
        <w:t xml:space="preserve"> = </w:t>
      </w:r>
      <w:r>
        <w:rPr>
          <w:rFonts w:hint="eastAsia"/>
        </w:rPr>
        <w:t xml:space="preserve">100,000円</w:t>
      </w:r>
      <w:r>
        <w:t xml:space="preserve"> </w:t>
      </w:r>
      <w:r>
        <w:rPr>
          <w:rFonts w:hint="eastAsia"/>
        </w:rPr>
        <w:t xml:space="preserve">×（10,500</w:t>
      </w:r>
      <w:r>
        <w:t xml:space="preserve"> ÷ </w:t>
      </w:r>
      <w:r>
        <w:rPr>
          <w:rFonts w:hint="eastAsia"/>
        </w:rPr>
        <w:t xml:space="preserve">11,000）</w:t>
      </w:r>
      <w:r>
        <w:t xml:space="preserve"> </w:t>
      </w:r>
      <w:r>
        <w:t xml:space="preserve">- </w:t>
      </w:r>
      <w:r>
        <w:rPr>
          <w:rFonts w:hint="eastAsia"/>
        </w:rPr>
        <w:t xml:space="preserve">調整後取得価格</w:t>
      </w:r>
      <w:r>
        <w:t xml:space="preserve"> ≒ </w:t>
      </w:r>
      <w:r>
        <w:rPr>
          <w:rFonts w:hint="eastAsia"/>
        </w:rPr>
        <w:t xml:space="preserve">95,455円</w:t>
      </w:r>
    </w:p>
    <w:p>
      <w:pPr>
        <w:pStyle w:val="BodyText"/>
      </w:pPr>
      <w:r>
        <w:rPr>
          <w:rFonts w:hint="eastAsia"/>
        </w:rPr>
        <w:t xml:space="preserve">直近取得価格100,000円が、希薄化により約95,455円に調整される。</w:t>
      </w:r>
    </w:p>
    <w:p/>
    <w:p>
      <w:pPr>
        <w:pStyle w:val="Heading2"/>
      </w:pPr>
      <w:r>
        <w:rPr>
          <w:rFonts w:hint="eastAsia"/>
        </w:rPr>
        <w:t xml:space="preserve">印紙税について</w:t>
      </w:r>
    </w:p>
    <w:p>
      <w:pPr>
        <w:pStyle w:val="FirstParagraph"/>
      </w:pPr>
      <w:r>
        <w:rPr>
          <w:rFonts w:hint="eastAsia"/>
        </w:rPr>
        <w:t xml:space="preserve">本契約書(株主間契約書)の印紙税は、以下のとおりです。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契約の性質</w:t>
            </w:r>
          </w:p>
        </w:tc>
        <w:tc>
          <w:tcPr/>
          <w:p>
            <w:pPr>
              <w:pStyle w:val="Compact"/>
            </w:pPr>
            <w:r>
              <w:rPr>
                <w:rFonts w:hint="eastAsia"/>
              </w:rPr>
              <w:t xml:space="preserve">印紙税の取扱い</w:t>
            </w:r>
          </w:p>
        </w:tc>
      </w:tr>
      <w:tr>
        <w:tc>
          <w:tcPr/>
          <w:p>
            <w:pPr>
              <w:pStyle w:val="Compact"/>
            </w:pPr>
            <w:r>
              <w:rPr>
                <w:rFonts w:hint="eastAsia"/>
              </w:rPr>
              <w:t xml:space="preserve">純粋な株主間契約書(典型契約に該当せず無名契約として整理)</w:t>
            </w:r>
          </w:p>
        </w:tc>
        <w:tc>
          <w:tcPr/>
          <w:p>
            <w:pPr>
              <w:pStyle w:val="Compact"/>
            </w:pPr>
            <w:r>
              <w:rPr>
                <w:rFonts w:hint="eastAsia"/>
                <w:b/>
                <w:bCs/>
              </w:rPr>
              <w:t xml:space="preserve">原則非課税</w:t>
            </w:r>
            <w:r>
              <w:rPr>
                <w:rFonts w:hint="eastAsia"/>
              </w:rPr>
              <w:t xml:space="preserve">(印紙税法上の明確な課税文書類型に該当しないため)</w:t>
            </w:r>
          </w:p>
        </w:tc>
      </w:tr>
      <w:tr>
        <w:tc>
          <w:tcPr/>
          <w:p>
            <w:pPr>
              <w:pStyle w:val="Compact"/>
            </w:pPr>
            <w:r>
              <w:rPr>
                <w:rFonts w:hint="eastAsia"/>
              </w:rPr>
              <w:t xml:space="preserve">継続的取引の基本契約書(継続期間3か月超かつ更新条項あり等の要件を満たす場合)</w:t>
            </w:r>
          </w:p>
        </w:tc>
        <w:tc>
          <w:tcPr/>
          <w:p>
            <w:pPr>
              <w:pStyle w:val="Compact"/>
            </w:pPr>
            <w:r>
              <w:rPr>
                <w:rFonts w:hint="eastAsia"/>
                <w:b/>
                <w:bCs/>
              </w:rPr>
              <w:t xml:space="preserve">第7号文書</w:t>
            </w:r>
            <w:r>
              <w:rPr>
                <w:rFonts w:hint="eastAsia"/>
              </w:rPr>
              <w:t xml:space="preserve">として一律4,000円</w:t>
            </w:r>
          </w:p>
        </w:tc>
      </w:tr>
    </w:tbl>
    <w:p>
      <w:pPr>
        <w:pStyle w:val="BodyText"/>
      </w:pPr>
      <w:r>
        <w:rPr>
          <w:rFonts w:hint="eastAsia"/>
        </w:rPr>
        <w:t xml:space="preserve">※2026年5月時点。株主間契約書の印紙税の取扱いは、契約内容により判断が分かれることがあります。重要な契約では税理士・専門家に確認することを推奨します。</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株主間契約は複数当事者間で締結されることが多く、電子契約により</w:t>
      </w:r>
      <w:r>
        <w:rPr>
          <w:rFonts w:hint="eastAsia"/>
          <w:b/>
          <w:bCs/>
        </w:rPr>
        <w:t xml:space="preserve">契約締結のスピードアップと印紙税削減</w:t>
      </w:r>
      <w:r>
        <w:rPr>
          <w:rFonts w:hint="eastAsia"/>
        </w:rPr>
        <w:t xml:space="preserve">を同時に実現できます。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2">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11" Type="http://schemas.openxmlformats.org/officeDocument/2006/relationships/hyperlink" Target="&#20197;&#19979;&#12300;&#26412;&#20214;&#20250;&#31038;&#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11" Type="http://schemas.openxmlformats.org/officeDocument/2006/relationships/hyperlink" Target="&#20197;&#19979;&#12300;&#26412;&#20214;&#20250;&#31038;&#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2026-06-16T00:52:14Z</dcterms:created>
  <dcterms:modified xsi:type="dcterms:W3CDTF">2026-06-16T00:52:14Z</dcterms:modified>
</cp:coreProperties>
</file>

<file path=docProps/custom.xml><?xml version="1.0" encoding="utf-8"?>
<Properties xmlns="http://schemas.openxmlformats.org/officeDocument/2006/custom-properties" xmlns:vt="http://schemas.openxmlformats.org/officeDocument/2006/docPropsVTypes"/>
</file>