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3" w:name="oem契約書製造委託基本契約書"/>
    <w:p>
      <w:pPr>
        <w:pStyle w:val="Heading1"/>
      </w:pPr>
      <w:r>
        <w:rPr>
          <w:rFonts w:hint="eastAsia"/>
        </w:rPr>
        <w:t xml:space="preserve">OEM契約書(製造委託基本契約書)</w:t>
      </w:r>
    </w:p>
    <w:p>
      <w:pPr>
        <w:pStyle w:val="BlockText"/>
      </w:pPr>
      <w:r>
        <w:rPr>
          <w:rFonts w:hint="eastAsia"/>
          <w:b/>
          <w:bCs/>
        </w:rPr>
        <w:t xml:space="preserve">※本テンプレートは弁護士監修ですが、個別案件に応じた修正が必要です。重要な契約は弁護士にご相談ください。</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甲の正式名称(例:○○株式会社)</w:t>
        </w:r>
      </w:hyperlink>
      <w:r>
        <w:t xml:space="preserve">と</w:t>
      </w:r>
      <w:hyperlink r:id="rId10">
        <w:r>
          <w:rPr>
            <w:rStyle w:val="Hyperlink"/>
            <w:rFonts w:hint="eastAsia"/>
          </w:rPr>
          <w:t xml:space="preserve">乙の正式名称(例:○○製作所)</w:t>
        </w:r>
      </w:hyperlink>
      <w:r>
        <w:rPr>
          <w:rFonts w:hint="eastAsia"/>
        </w:rPr>
        <w:t xml:space="preserve">は、甲が乙に対し、本契約に定める製品の製造を委託し、乙がこれを受託することに関し、以下のとおりOEM契約(以下「本契約」という。)を締結する。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本契約の目的を明確化する条文です。製造委託の基本契約であり、個別の発注は別途行うことを明示します。</w:t>
      </w:r>
    </w:p>
    <w:p>
      <w:pPr>
        <w:pStyle w:val="BodyText"/>
      </w:pPr>
      <w:r>
        <w:rPr>
          <w:rFonts w:hint="eastAsia"/>
        </w:rPr>
        <w:t xml:space="preserve">本契約は、甲が乙に対し、甲のブランドで販売する製品(以下「本製品」という。)の製造を委託し、乙がこれを受託する基本的事項を定めることを目的とする。</w:t>
      </w:r>
    </w:p>
    <w:p>
      <w:r>
        <w:pict>
          <v:rect style="width:0;height:1.5pt" o:hralign="center" o:hrstd="t" o:hr="t"/>
        </w:pict>
      </w:r>
    </w:p>
    <w:bookmarkEnd w:id="12"/>
    <w:bookmarkStart w:id="13" w:name="第2条定義"/>
    <w:p>
      <w:pPr>
        <w:pStyle w:val="Heading2"/>
      </w:pPr>
      <w:r>
        <w:rPr>
          <w:rFonts w:hint="eastAsia"/>
        </w:rPr>
        <w:t xml:space="preserve">第2条(定義)</w:t>
      </w:r>
    </w:p>
    <w:p>
      <w:pPr>
        <w:pStyle w:val="FirstParagraph"/>
      </w:pPr>
      <w:r>
        <w:rPr>
          <w:rFonts w:hint="eastAsia"/>
          <w:b/>
          <w:bCs/>
        </w:rPr>
        <w:t xml:space="preserve">【解説】</w:t>
      </w:r>
      <w:r>
        <w:t xml:space="preserve"> </w:t>
      </w:r>
      <w:r>
        <w:rPr>
          <w:rFonts w:hint="eastAsia"/>
        </w:rPr>
        <w:t xml:space="preserve">本契約で頻出する用語を冒頭で定義することで、以後の条文の解釈ブレを防ぎます。</w:t>
      </w:r>
    </w:p>
    <w:p>
      <w:pPr>
        <w:pStyle w:val="BodyText"/>
      </w:pPr>
      <w:r>
        <w:rPr>
          <w:rFonts w:hint="eastAsia"/>
        </w:rPr>
        <w:t xml:space="preserve">本契約において使用する用語の定義は、次の各号に定めるとおりとする。</w:t>
      </w:r>
    </w:p>
    <w:p>
      <w:pPr>
        <w:pStyle w:val="Compact"/>
        <w:numPr>
          <w:ilvl w:val="0"/>
          <w:numId w:val="1001"/>
        </w:numPr>
      </w:pPr>
      <w:r>
        <w:rPr>
          <w:rFonts w:hint="eastAsia"/>
        </w:rPr>
        <w:t xml:space="preserve">「本製品」とは、別紙「製品仕様書」記載の製品をいう。</w:t>
      </w:r>
    </w:p>
    <w:p>
      <w:pPr>
        <w:pStyle w:val="Compact"/>
        <w:numPr>
          <w:ilvl w:val="0"/>
          <w:numId w:val="1001"/>
        </w:numPr>
      </w:pPr>
      <w:r>
        <w:rPr>
          <w:rFonts w:hint="eastAsia"/>
        </w:rPr>
        <w:t xml:space="preserve">「仕様書」とは、本製品の品質・性能・形状・材質その他の仕様を定めた書面又は電磁的記録をいう。</w:t>
      </w:r>
    </w:p>
    <w:p>
      <w:pPr>
        <w:pStyle w:val="Compact"/>
        <w:numPr>
          <w:ilvl w:val="0"/>
          <w:numId w:val="1001"/>
        </w:numPr>
      </w:pPr>
      <w:r>
        <w:rPr>
          <w:rFonts w:hint="eastAsia"/>
        </w:rPr>
        <w:t xml:space="preserve">「個別契約」とは、本契約に基づき甲が乙に対して発行する個別の発注書をいう。</w:t>
      </w:r>
    </w:p>
    <w:p>
      <w:pPr>
        <w:pStyle w:val="Compact"/>
        <w:numPr>
          <w:ilvl w:val="0"/>
          <w:numId w:val="1001"/>
        </w:numPr>
      </w:pPr>
      <w:r>
        <w:rPr>
          <w:rFonts w:hint="eastAsia"/>
        </w:rPr>
        <w:t xml:space="preserve">「金型等」とは、本製品の製造に使用する金型、治具、検査用器具、図面その他の有体物をいう。</w:t>
      </w:r>
    </w:p>
    <w:p>
      <w:r>
        <w:pict>
          <v:rect style="width:0;height:1.5pt" o:hralign="center" o:hrstd="t" o:hr="t"/>
        </w:pict>
      </w:r>
    </w:p>
    <w:bookmarkEnd w:id="13"/>
    <w:bookmarkStart w:id="14" w:name="第3条製造委託の内容"/>
    <w:p>
      <w:pPr>
        <w:pStyle w:val="Heading2"/>
      </w:pPr>
      <w:r>
        <w:rPr>
          <w:rFonts w:hint="eastAsia"/>
        </w:rPr>
        <w:t xml:space="preserve">第3条(製造委託の内容)</w:t>
      </w:r>
    </w:p>
    <w:p>
      <w:pPr>
        <w:pStyle w:val="FirstParagraph"/>
      </w:pPr>
      <w:r>
        <w:rPr>
          <w:rFonts w:hint="eastAsia"/>
          <w:b/>
          <w:bCs/>
        </w:rPr>
        <w:t xml:space="preserve">【解説】</w:t>
      </w:r>
      <w:r>
        <w:t xml:space="preserve"> </w:t>
      </w:r>
      <w:r>
        <w:rPr>
          <w:rFonts w:hint="eastAsia"/>
        </w:rPr>
        <w:t xml:space="preserve">製造委託の枠組みを定める中心条文です。基本契約+個別契約の二段構えとし、品質・数量・納期等の具体的条件は個別契約で確定する設計が実務的です。</w:t>
      </w:r>
    </w:p>
    <w:p>
      <w:pPr>
        <w:numPr>
          <w:ilvl w:val="0"/>
          <w:numId w:val="1002"/>
        </w:numPr>
      </w:pPr>
      <w:r>
        <w:rPr>
          <w:rFonts w:hint="eastAsia"/>
        </w:rPr>
        <w:t xml:space="preserve">甲は、乙に対し、本製品の製造を委託し、乙はこれを受託する。</w:t>
      </w:r>
    </w:p>
    <w:p>
      <w:pPr>
        <w:numPr>
          <w:ilvl w:val="0"/>
          <w:numId w:val="1002"/>
        </w:numPr>
      </w:pPr>
      <w:r>
        <w:rPr>
          <w:rFonts w:hint="eastAsia"/>
        </w:rPr>
        <w:t xml:space="preserve">乙は、本契約及び個別契約並びに仕様書に従い、本製品を製造し、甲に納入するものとする。</w:t>
      </w:r>
    </w:p>
    <w:p>
      <w:pPr>
        <w:numPr>
          <w:ilvl w:val="0"/>
          <w:numId w:val="1002"/>
        </w:numPr>
      </w:pPr>
      <w:r>
        <w:rPr>
          <w:rFonts w:hint="eastAsia"/>
        </w:rPr>
        <w:t xml:space="preserve">本契約は、甲乙間における本製品の製造委託取引の基本的事項を定めるものであり、個別の取引条件(品名、数量、単価、納期、納入場所等)は、個別契約により定めるものとする。</w:t>
      </w:r>
    </w:p>
    <w:p>
      <w:r>
        <w:pict>
          <v:rect style="width:0;height:1.5pt" o:hralign="center" o:hrstd="t" o:hr="t"/>
        </w:pict>
      </w:r>
    </w:p>
    <w:bookmarkEnd w:id="14"/>
    <w:bookmarkStart w:id="15" w:name="第4条仕様書図面"/>
    <w:p>
      <w:pPr>
        <w:pStyle w:val="Heading2"/>
      </w:pPr>
      <w:r>
        <w:rPr>
          <w:rFonts w:hint="eastAsia"/>
        </w:rPr>
        <w:t xml:space="preserve">第4条(仕様書・図面)</w:t>
      </w:r>
    </w:p>
    <w:p>
      <w:pPr>
        <w:pStyle w:val="FirstParagraph"/>
      </w:pPr>
      <w:r>
        <w:rPr>
          <w:rFonts w:hint="eastAsia"/>
          <w:b/>
          <w:bCs/>
        </w:rPr>
        <w:t xml:space="preserve">【解説】</w:t>
      </w:r>
      <w:r>
        <w:t xml:space="preserve"> </w:t>
      </w:r>
      <w:r>
        <w:rPr>
          <w:rFonts w:hint="eastAsia"/>
        </w:rPr>
        <w:t xml:space="preserve">OEMの中核要素である仕様の取扱いを定めます。仕様変更時の手続きを明示することで、後の品質トラブルを予防します。</w:t>
      </w:r>
    </w:p>
    <w:p>
      <w:pPr>
        <w:numPr>
          <w:ilvl w:val="0"/>
          <w:numId w:val="1003"/>
        </w:numPr>
      </w:pPr>
      <w:r>
        <w:rPr>
          <w:rFonts w:hint="eastAsia"/>
        </w:rPr>
        <w:t xml:space="preserve">本製品の仕様は、別紙「製品仕様書」のとおりとする。</w:t>
      </w:r>
    </w:p>
    <w:p>
      <w:pPr>
        <w:numPr>
          <w:ilvl w:val="0"/>
          <w:numId w:val="1003"/>
        </w:numPr>
      </w:pPr>
      <w:r>
        <w:rPr>
          <w:rFonts w:hint="eastAsia"/>
        </w:rPr>
        <w:t xml:space="preserve">甲は、本契約期間中、仕様書の内容を変更することができる。仕様変更により、製造単価・納期等に影響が生じる場合、甲乙協議の上、これを調整するものとする。</w:t>
      </w:r>
    </w:p>
    <w:p>
      <w:pPr>
        <w:numPr>
          <w:ilvl w:val="0"/>
          <w:numId w:val="1003"/>
        </w:numPr>
      </w:pPr>
      <w:r>
        <w:rPr>
          <w:rFonts w:hint="eastAsia"/>
        </w:rPr>
        <w:t xml:space="preserve">乙は、甲の事前の書面又は電磁的方法による承諾なく、仕様書の内容を変更してはならない。</w:t>
      </w:r>
    </w:p>
    <w:p>
      <w:pPr>
        <w:numPr>
          <w:ilvl w:val="0"/>
          <w:numId w:val="1003"/>
        </w:numPr>
      </w:pPr>
      <w:r>
        <w:rPr>
          <w:rFonts w:hint="eastAsia"/>
        </w:rPr>
        <w:t xml:space="preserve">甲が乙に提供する仕様書、図面、サンプル、データその他の資料(以下「提供資料」という。)に関する一切の知的財産権は、甲に帰属する。乙は、提供資料を本契約の目的以外に使用してはならない。</w:t>
      </w:r>
    </w:p>
    <w:p>
      <w:r>
        <w:pict>
          <v:rect style="width:0;height:1.5pt" o:hralign="center" o:hrstd="t" o:hr="t"/>
        </w:pict>
      </w:r>
    </w:p>
    <w:bookmarkEnd w:id="15"/>
    <w:bookmarkStart w:id="16" w:name="第5条個別契約"/>
    <w:p>
      <w:pPr>
        <w:pStyle w:val="Heading2"/>
      </w:pPr>
      <w:r>
        <w:rPr>
          <w:rFonts w:hint="eastAsia"/>
        </w:rPr>
        <w:t xml:space="preserve">第5条(個別契約)</w:t>
      </w:r>
    </w:p>
    <w:p>
      <w:pPr>
        <w:pStyle w:val="FirstParagraph"/>
      </w:pPr>
      <w:r>
        <w:rPr>
          <w:rFonts w:hint="eastAsia"/>
          <w:b/>
          <w:bCs/>
        </w:rPr>
        <w:t xml:space="preserve">【解説】</w:t>
      </w:r>
      <w:r>
        <w:t xml:space="preserve"> </w:t>
      </w:r>
      <w:r>
        <w:rPr>
          <w:rFonts w:hint="eastAsia"/>
        </w:rPr>
        <w:t xml:space="preserve">個別発注の手続きを定めます。取適法対象案件では、個別契約(発注書)で12項目を明示する必要があるため、電磁的方法での交付を前提とした規定にしています。</w:t>
      </w:r>
    </w:p>
    <w:p>
      <w:pPr>
        <w:numPr>
          <w:ilvl w:val="0"/>
          <w:numId w:val="1004"/>
        </w:numPr>
      </w:pPr>
      <w:r>
        <w:rPr>
          <w:rFonts w:hint="eastAsia"/>
        </w:rPr>
        <w:t xml:space="preserve">個別契約は、甲が乙に対し、品名、数量、単価、納期、納入場所その他の取引条件を記載した発注書(書面又は電磁的方法による電磁的記録)を交付し、乙がこれを承諾することにより成立する。</w:t>
      </w:r>
    </w:p>
    <w:p>
      <w:pPr>
        <w:numPr>
          <w:ilvl w:val="0"/>
          <w:numId w:val="1004"/>
        </w:numPr>
      </w:pPr>
      <w:r>
        <w:rPr>
          <w:rFonts w:hint="eastAsia"/>
        </w:rPr>
        <w:t xml:space="preserve">乙は、発注書の受領後[3]営業日以内に、書面又は電磁的方法によって承諾の意思表示を行うものとする。</w:t>
      </w:r>
    </w:p>
    <w:p>
      <w:pPr>
        <w:numPr>
          <w:ilvl w:val="0"/>
          <w:numId w:val="1004"/>
        </w:numPr>
      </w:pPr>
      <w:r>
        <w:rPr>
          <w:rFonts w:hint="eastAsia"/>
        </w:rPr>
        <w:t xml:space="preserve">前項の期間内に乙から異議の申出がない場合、乙は当該発注書の内容を承諾したものとみなす。</w:t>
      </w:r>
    </w:p>
    <w:p>
      <w:pPr>
        <w:numPr>
          <w:ilvl w:val="0"/>
          <w:numId w:val="1004"/>
        </w:numPr>
      </w:pPr>
      <w:r>
        <w:rPr>
          <w:rFonts w:hint="eastAsia"/>
        </w:rPr>
        <w:t xml:space="preserve">本契約と個別契約の内容が矛盾する場合、個別契約が優先する。</w:t>
      </w:r>
    </w:p>
    <w:p>
      <w:r>
        <w:pict>
          <v:rect style="width:0;height:1.5pt" o:hralign="center" o:hrstd="t" o:hr="t"/>
        </w:pict>
      </w:r>
    </w:p>
    <w:bookmarkEnd w:id="16"/>
    <w:bookmarkStart w:id="17" w:name="第6条製造単価"/>
    <w:p>
      <w:pPr>
        <w:pStyle w:val="Heading2"/>
      </w:pPr>
      <w:r>
        <w:rPr>
          <w:rFonts w:hint="eastAsia"/>
        </w:rPr>
        <w:t xml:space="preserve">第6条(製造単価)</w:t>
      </w:r>
    </w:p>
    <w:p>
      <w:pPr>
        <w:pStyle w:val="FirstParagraph"/>
      </w:pPr>
      <w:r>
        <w:rPr>
          <w:rFonts w:hint="eastAsia"/>
          <w:b/>
          <w:bCs/>
        </w:rPr>
        <w:t xml:space="preserve">【解説】</w:t>
      </w:r>
      <w:r>
        <w:t xml:space="preserve"> </w:t>
      </w:r>
      <w:r>
        <w:rPr>
          <w:rFonts w:hint="eastAsia"/>
        </w:rPr>
        <w:t xml:space="preserve">取適法対応として「一方的な単価決定の禁止」を明示するのが現代的な書き方です。原材料費高騰時の協議規定もセットで定めます。</w:t>
      </w:r>
    </w:p>
    <w:p>
      <w:pPr>
        <w:numPr>
          <w:ilvl w:val="0"/>
          <w:numId w:val="1005"/>
        </w:numPr>
      </w:pPr>
      <w:r>
        <w:rPr>
          <w:rFonts w:hint="eastAsia"/>
        </w:rPr>
        <w:t xml:space="preserve">本製品の製造単価は、別紙「価格表」記載のとおりとする。価格表は、甲乙協議の上、随時更新することができる。</w:t>
      </w:r>
    </w:p>
    <w:p>
      <w:pPr>
        <w:numPr>
          <w:ilvl w:val="0"/>
          <w:numId w:val="1005"/>
        </w:numPr>
      </w:pPr>
      <w:r>
        <w:rPr>
          <w:rFonts w:hint="eastAsia"/>
        </w:rPr>
        <w:t xml:space="preserve">原材料費、人件費、為替その他の経済情勢の変動により、製造単価の見直しが必要となった場合、甲乙誠実に協議の上、これを改定するものとする。</w:t>
      </w:r>
    </w:p>
    <w:p>
      <w:pPr>
        <w:numPr>
          <w:ilvl w:val="0"/>
          <w:numId w:val="1005"/>
        </w:numPr>
      </w:pPr>
      <w:r>
        <w:rPr>
          <w:rFonts w:hint="eastAsia"/>
        </w:rPr>
        <w:t xml:space="preserve">甲及び乙は、一方的に製造単価を引き下げ又は引き上げてはならない。</w:t>
      </w:r>
    </w:p>
    <w:p>
      <w:r>
        <w:pict>
          <v:rect style="width:0;height:1.5pt" o:hralign="center" o:hrstd="t" o:hr="t"/>
        </w:pict>
      </w:r>
    </w:p>
    <w:bookmarkEnd w:id="17"/>
    <w:bookmarkStart w:id="18" w:name="第7条納入"/>
    <w:p>
      <w:pPr>
        <w:pStyle w:val="Heading2"/>
      </w:pPr>
      <w:r>
        <w:rPr>
          <w:rFonts w:hint="eastAsia"/>
        </w:rPr>
        <w:t xml:space="preserve">第7条(納入)</w:t>
      </w:r>
    </w:p>
    <w:p>
      <w:pPr>
        <w:pStyle w:val="FirstParagraph"/>
      </w:pPr>
      <w:r>
        <w:rPr>
          <w:rFonts w:hint="eastAsia"/>
          <w:b/>
          <w:bCs/>
        </w:rPr>
        <w:t xml:space="preserve">【解説】</w:t>
      </w:r>
      <w:r>
        <w:t xml:space="preserve"> </w:t>
      </w:r>
      <w:r>
        <w:rPr>
          <w:rFonts w:hint="eastAsia"/>
        </w:rPr>
        <w:t xml:space="preserve">納入時期・場所・運送費負担を明示します。納入遅延時の対応も併せて規定。</w:t>
      </w:r>
    </w:p>
    <w:p>
      <w:pPr>
        <w:numPr>
          <w:ilvl w:val="0"/>
          <w:numId w:val="1006"/>
        </w:numPr>
      </w:pPr>
      <w:r>
        <w:rPr>
          <w:rFonts w:hint="eastAsia"/>
        </w:rPr>
        <w:t xml:space="preserve">乙は、個別契約に定める納期までに、本製品を個別契約に定める納入場所において甲に納入するものとする。</w:t>
      </w:r>
    </w:p>
    <w:p>
      <w:pPr>
        <w:numPr>
          <w:ilvl w:val="0"/>
          <w:numId w:val="1006"/>
        </w:numPr>
      </w:pPr>
      <w:r>
        <w:rPr>
          <w:rFonts w:hint="eastAsia"/>
        </w:rPr>
        <w:t xml:space="preserve">本製品の納入に要する運送費及び梱包費は、個別契約に別段の定めがない限り、[乙/甲]の負担とする。</w:t>
      </w:r>
    </w:p>
    <w:p>
      <w:pPr>
        <w:numPr>
          <w:ilvl w:val="0"/>
          <w:numId w:val="1006"/>
        </w:numPr>
      </w:pPr>
      <w:r>
        <w:rPr>
          <w:rFonts w:hint="eastAsia"/>
        </w:rPr>
        <w:t xml:space="preserve">乙は、納期までに本製品を納入できない事由が生じた場合、直ちに甲に通知し、その対応について協議するものとする。</w:t>
      </w:r>
    </w:p>
    <w:p>
      <w:r>
        <w:pict>
          <v:rect style="width:0;height:1.5pt" o:hralign="center" o:hrstd="t" o:hr="t"/>
        </w:pict>
      </w:r>
    </w:p>
    <w:bookmarkEnd w:id="18"/>
    <w:bookmarkStart w:id="19" w:name="第8条検収"/>
    <w:p>
      <w:pPr>
        <w:pStyle w:val="Heading2"/>
      </w:pPr>
      <w:r>
        <w:rPr>
          <w:rFonts w:hint="eastAsia"/>
        </w:rPr>
        <w:t xml:space="preserve">第8条(検収)</w:t>
      </w:r>
    </w:p>
    <w:p>
      <w:pPr>
        <w:pStyle w:val="FirstParagraph"/>
      </w:pPr>
      <w:r>
        <w:rPr>
          <w:rFonts w:hint="eastAsia"/>
          <w:b/>
          <w:bCs/>
        </w:rPr>
        <w:t xml:space="preserve">【解説】</w:t>
      </w:r>
      <w:r>
        <w:t xml:space="preserve"> </w:t>
      </w:r>
      <w:r>
        <w:rPr>
          <w:rFonts w:hint="eastAsia"/>
        </w:rPr>
        <w:t xml:space="preserve">検収手続きと「みなし合格条項」を組み合わせることで、買主の検査怠慢による業務停滞を防ぎます。検収期間は7〜14日が一般的。</w:t>
      </w:r>
    </w:p>
    <w:p>
      <w:pPr>
        <w:numPr>
          <w:ilvl w:val="0"/>
          <w:numId w:val="1007"/>
        </w:numPr>
      </w:pPr>
      <w:r>
        <w:rPr>
          <w:rFonts w:hint="eastAsia"/>
        </w:rPr>
        <w:t xml:space="preserve">甲は、本製品の納入を受けた日から[14]日以内(以下「検収期間」という。)に、本製品の検査を行うものとする。</w:t>
      </w:r>
    </w:p>
    <w:p>
      <w:pPr>
        <w:numPr>
          <w:ilvl w:val="0"/>
          <w:numId w:val="1007"/>
        </w:numPr>
      </w:pPr>
      <w:r>
        <w:rPr>
          <w:rFonts w:hint="eastAsia"/>
        </w:rPr>
        <w:t xml:space="preserve">甲は、検査の結果、本製品が仕様書に適合することを確認した場合、乙に対し検収完了の通知を行うものとする。</w:t>
      </w:r>
    </w:p>
    <w:p>
      <w:pPr>
        <w:numPr>
          <w:ilvl w:val="0"/>
          <w:numId w:val="1007"/>
        </w:numPr>
      </w:pPr>
      <w:r>
        <w:rPr>
          <w:rFonts w:hint="eastAsia"/>
        </w:rPr>
        <w:t xml:space="preserve">甲は、検査の結果、本製品が仕様書に適合しないことを発見した場合、検収期間内に、書面又は電磁的方法によりその旨を乙に通知するものとする。</w:t>
      </w:r>
    </w:p>
    <w:p>
      <w:pPr>
        <w:numPr>
          <w:ilvl w:val="0"/>
          <w:numId w:val="1007"/>
        </w:numPr>
      </w:pPr>
      <w:r>
        <w:rPr>
          <w:rFonts w:hint="eastAsia"/>
        </w:rPr>
        <w:t xml:space="preserve">検収期間内に甲から前項の通知がない場合、本製品は検収に合格したものとみなす。</w:t>
      </w:r>
    </w:p>
    <w:p>
      <w:pPr>
        <w:numPr>
          <w:ilvl w:val="0"/>
          <w:numId w:val="1007"/>
        </w:numPr>
      </w:pPr>
      <w:r>
        <w:rPr>
          <w:rFonts w:hint="eastAsia"/>
        </w:rPr>
        <w:t xml:space="preserve">検収に合格しない本製品については、乙は、甲の指示に従い、自己の費用負担により、代替品の納入又は修補を行うものとする。</w:t>
      </w:r>
    </w:p>
    <w:p>
      <w:r>
        <w:pict>
          <v:rect style="width:0;height:1.5pt" o:hralign="center" o:hrstd="t" o:hr="t"/>
        </w:pict>
      </w:r>
    </w:p>
    <w:bookmarkEnd w:id="19"/>
    <w:bookmarkStart w:id="20" w:name="第9条契約不適合責任"/>
    <w:p>
      <w:pPr>
        <w:pStyle w:val="Heading2"/>
      </w:pPr>
      <w:r>
        <w:rPr>
          <w:rFonts w:hint="eastAsia"/>
        </w:rPr>
        <w:t xml:space="preserve">第9条(契約不適合責任)</w:t>
      </w:r>
    </w:p>
    <w:p>
      <w:pPr>
        <w:pStyle w:val="FirstParagraph"/>
      </w:pPr>
      <w:r>
        <w:rPr>
          <w:rFonts w:hint="eastAsia"/>
          <w:b/>
          <w:bCs/>
        </w:rPr>
        <w:t xml:space="preserve">【解説】</w:t>
      </w:r>
      <w:r>
        <w:t xml:space="preserve"> </w:t>
      </w:r>
      <w:r>
        <w:rPr>
          <w:rFonts w:hint="eastAsia"/>
        </w:rPr>
        <w:t xml:space="preserve">2020年民法改正に対応した条項です。「契約不適合責任」の救済手段(追完・代金減額・損害賠償・解除)を明示します。</w:t>
      </w:r>
    </w:p>
    <w:p>
      <w:pPr>
        <w:pStyle w:val="Compact"/>
        <w:numPr>
          <w:ilvl w:val="0"/>
          <w:numId w:val="1008"/>
        </w:numPr>
      </w:pPr>
      <w:r>
        <w:rPr>
          <w:rFonts w:hint="eastAsia"/>
        </w:rPr>
        <w:t xml:space="preserve">検収合格後、本製品に種類、品質又は数量に関して本契約・個別契約又は仕様書の内容に適合しないこと(以下「契約不適合」という。)が判明した場合、甲は乙に対し、当該契約不適合を知った時から[1]年以内に通知することを条件として、次の各号に定める請求を行うことができる。</w:t>
      </w:r>
    </w:p>
    <w:p>
      <w:pPr>
        <w:pStyle w:val="Compact"/>
        <w:numPr>
          <w:ilvl w:val="0"/>
          <w:numId w:val="1009"/>
        </w:numPr>
      </w:pPr>
      <w:r>
        <w:rPr>
          <w:rFonts w:hint="eastAsia"/>
        </w:rPr>
        <w:t xml:space="preserve">履行の追完(本製品の修補、代替品の引渡し、不足分の引渡し)の請求</w:t>
      </w:r>
    </w:p>
    <w:p>
      <w:pPr>
        <w:pStyle w:val="Compact"/>
        <w:numPr>
          <w:ilvl w:val="0"/>
          <w:numId w:val="1009"/>
        </w:numPr>
      </w:pPr>
      <w:r>
        <w:rPr>
          <w:rFonts w:hint="eastAsia"/>
        </w:rPr>
        <w:t xml:space="preserve">製造単価の減額請求</w:t>
      </w:r>
    </w:p>
    <w:p>
      <w:pPr>
        <w:pStyle w:val="Compact"/>
        <w:numPr>
          <w:ilvl w:val="0"/>
          <w:numId w:val="1009"/>
        </w:numPr>
      </w:pPr>
      <w:r>
        <w:rPr>
          <w:rFonts w:hint="eastAsia"/>
        </w:rPr>
        <w:t xml:space="preserve">本契約又は個別契約の解除</w:t>
      </w:r>
    </w:p>
    <w:p>
      <w:pPr>
        <w:pStyle w:val="Compact"/>
        <w:numPr>
          <w:ilvl w:val="0"/>
          <w:numId w:val="1009"/>
        </w:numPr>
      </w:pPr>
      <w:r>
        <w:rPr>
          <w:rFonts w:hint="eastAsia"/>
        </w:rPr>
        <w:t xml:space="preserve">損害賠償の請求</w:t>
      </w:r>
    </w:p>
    <w:p>
      <w:pPr>
        <w:pStyle w:val="Compact"/>
        <w:numPr>
          <w:ilvl w:val="0"/>
          <w:numId w:val="1010"/>
        </w:numPr>
      </w:pPr>
      <w:r>
        <w:rPr>
          <w:rFonts w:hint="eastAsia"/>
        </w:rPr>
        <w:t xml:space="preserve">前項にかかわらず、契約不適合が甲の責めに帰すべき事由(仕様書の不備等)による場合は、同項の請求はできないものとする。</w:t>
      </w:r>
    </w:p>
    <w:p>
      <w:r>
        <w:pict>
          <v:rect style="width:0;height:1.5pt" o:hralign="center" o:hrstd="t" o:hr="t"/>
        </w:pict>
      </w:r>
    </w:p>
    <w:bookmarkEnd w:id="20"/>
    <w:bookmarkStart w:id="21" w:name="第10条金型治具の所有権及び管理"/>
    <w:p>
      <w:pPr>
        <w:pStyle w:val="Heading2"/>
      </w:pPr>
      <w:r>
        <w:rPr>
          <w:rFonts w:hint="eastAsia"/>
        </w:rPr>
        <w:t xml:space="preserve">第10条(金型・治具の所有権及び管理)</w:t>
      </w:r>
    </w:p>
    <w:p>
      <w:pPr>
        <w:pStyle w:val="FirstParagraph"/>
      </w:pPr>
      <w:r>
        <w:rPr>
          <w:rFonts w:hint="eastAsia"/>
          <w:b/>
          <w:bCs/>
        </w:rPr>
        <w:t xml:space="preserve">【解説】</w:t>
      </w:r>
      <w:r>
        <w:t xml:space="preserve"> </w:t>
      </w:r>
      <w:r>
        <w:rPr>
          <w:rFonts w:hint="eastAsia"/>
        </w:rPr>
        <w:t xml:space="preserve">OEM契約特有の最重要論点。費用負担と所有権を整理しないと典型的な紛争原因になります。費用負担パターンを契約締結時に必ず確認してください。</w:t>
      </w:r>
    </w:p>
    <w:p>
      <w:pPr>
        <w:pStyle w:val="Compact"/>
        <w:numPr>
          <w:ilvl w:val="0"/>
          <w:numId w:val="1011"/>
        </w:numPr>
      </w:pPr>
      <w:r>
        <w:rPr>
          <w:rFonts w:hint="eastAsia"/>
        </w:rPr>
        <w:t xml:space="preserve">金型等の費用負担及び所有権は、次のいずれかとし、個別の合意により定めるものとする。</w:t>
      </w:r>
    </w:p>
    <w:p>
      <w:pPr>
        <w:pStyle w:val="Compact"/>
        <w:numPr>
          <w:ilvl w:val="0"/>
          <w:numId w:val="1012"/>
        </w:numPr>
      </w:pPr>
      <w:r>
        <w:rPr>
          <w:rFonts w:hint="eastAsia"/>
        </w:rPr>
        <w:t xml:space="preserve">【パターン①:甲支給型】</w:t>
      </w:r>
      <w:r>
        <w:t xml:space="preserve"> </w:t>
      </w:r>
      <w:r>
        <w:rPr>
          <w:rFonts w:hint="eastAsia"/>
        </w:rPr>
        <w:t xml:space="preserve">甲が金型等の費用を負担し、所有権は当初から甲に帰属する。</w:t>
      </w:r>
    </w:p>
    <w:p>
      <w:pPr>
        <w:pStyle w:val="Compact"/>
        <w:numPr>
          <w:ilvl w:val="0"/>
          <w:numId w:val="1012"/>
        </w:numPr>
      </w:pPr>
      <w:r>
        <w:rPr>
          <w:rFonts w:hint="eastAsia"/>
        </w:rPr>
        <w:t xml:space="preserve">【パターン②:甲買取型】</w:t>
      </w:r>
      <w:r>
        <w:t xml:space="preserve"> </w:t>
      </w:r>
      <w:r>
        <w:rPr>
          <w:rFonts w:hint="eastAsia"/>
        </w:rPr>
        <w:t xml:space="preserve">乙が金型等を製作し、甲が乙にその費用を支払った時点で所有権が甲に移転する。</w:t>
      </w:r>
    </w:p>
    <w:p>
      <w:pPr>
        <w:pStyle w:val="Compact"/>
        <w:numPr>
          <w:ilvl w:val="0"/>
          <w:numId w:val="1012"/>
        </w:numPr>
      </w:pPr>
      <w:r>
        <w:rPr>
          <w:rFonts w:hint="eastAsia"/>
        </w:rPr>
        <w:t xml:space="preserve">【パターン③:償却型】</w:t>
      </w:r>
      <w:r>
        <w:t xml:space="preserve"> </w:t>
      </w:r>
      <w:r>
        <w:rPr>
          <w:rFonts w:hint="eastAsia"/>
        </w:rPr>
        <w:t xml:space="preserve">乙が金型等の費用を負担し、製造単価の中で段階的に償却する。償却完了時に所有権を甲に移転する(又は乙に留保する)。</w:t>
      </w:r>
    </w:p>
    <w:p>
      <w:pPr>
        <w:pStyle w:val="Compact"/>
        <w:numPr>
          <w:ilvl w:val="0"/>
          <w:numId w:val="1012"/>
        </w:numPr>
      </w:pPr>
      <w:r>
        <w:rPr>
          <w:rFonts w:hint="eastAsia"/>
        </w:rPr>
        <w:t xml:space="preserve">【パターン④:乙保有型】</w:t>
      </w:r>
      <w:r>
        <w:t xml:space="preserve"> </w:t>
      </w:r>
      <w:r>
        <w:rPr>
          <w:rFonts w:hint="eastAsia"/>
        </w:rPr>
        <w:t xml:space="preserve">乙が費用を負担し、所有権も乙に帰属する。</w:t>
      </w:r>
    </w:p>
    <w:p>
      <w:pPr>
        <w:numPr>
          <w:ilvl w:val="0"/>
          <w:numId w:val="1013"/>
        </w:numPr>
      </w:pPr>
      <w:r>
        <w:rPr>
          <w:rFonts w:hint="eastAsia"/>
        </w:rPr>
        <w:t xml:space="preserve">乙は、所有権の帰属にかかわらず、金型等を善良なる管理者の注意義務をもって管理し、本契約の目的以外に使用してはならない。</w:t>
      </w:r>
    </w:p>
    <w:p>
      <w:pPr>
        <w:numPr>
          <w:ilvl w:val="0"/>
          <w:numId w:val="1013"/>
        </w:numPr>
      </w:pPr>
      <w:r>
        <w:rPr>
          <w:rFonts w:hint="eastAsia"/>
        </w:rPr>
        <w:t xml:space="preserve">乙は、金型等を甲の事前の書面による承諾なく、第三者に貸与・譲渡・担保提供してはならない。</w:t>
      </w:r>
    </w:p>
    <w:p>
      <w:pPr>
        <w:numPr>
          <w:ilvl w:val="0"/>
          <w:numId w:val="1013"/>
        </w:numPr>
      </w:pPr>
      <w:r>
        <w:rPr>
          <w:rFonts w:hint="eastAsia"/>
        </w:rPr>
        <w:t xml:space="preserve">金型等が滅失又は毀損した場合、乙は直ちに甲に通知するものとし、乙の責めに帰すべき事由による場合、乙は甲に対して損害を賠償する。</w:t>
      </w:r>
    </w:p>
    <w:p>
      <w:pPr>
        <w:numPr>
          <w:ilvl w:val="0"/>
          <w:numId w:val="1013"/>
        </w:numPr>
      </w:pPr>
      <w:r>
        <w:rPr>
          <w:rFonts w:hint="eastAsia"/>
        </w:rPr>
        <w:t xml:space="preserve">本契約が終了した場合、又は甲から請求があった場合、乙は、甲所有の金型等を甲の指示に従い甲に返還し、又は廃棄するものとする。</w:t>
      </w:r>
    </w:p>
    <w:p>
      <w:r>
        <w:pict>
          <v:rect style="width:0;height:1.5pt" o:hralign="center" o:hrstd="t" o:hr="t"/>
        </w:pict>
      </w:r>
    </w:p>
    <w:bookmarkEnd w:id="21"/>
    <w:bookmarkStart w:id="22" w:name="第11条知的財産権"/>
    <w:p>
      <w:pPr>
        <w:pStyle w:val="Heading2"/>
      </w:pPr>
      <w:r>
        <w:rPr>
          <w:rFonts w:hint="eastAsia"/>
        </w:rPr>
        <w:t xml:space="preserve">第11条(知的財産権)</w:t>
      </w:r>
    </w:p>
    <w:p>
      <w:pPr>
        <w:pStyle w:val="FirstParagraph"/>
      </w:pPr>
      <w:r>
        <w:rPr>
          <w:rFonts w:hint="eastAsia"/>
          <w:b/>
          <w:bCs/>
        </w:rPr>
        <w:t xml:space="preserve">【解説】</w:t>
      </w:r>
      <w:r>
        <w:t xml:space="preserve"> </w:t>
      </w:r>
      <w:r>
        <w:rPr>
          <w:rFonts w:hint="eastAsia"/>
        </w:rPr>
        <w:t xml:space="preserve">OEMでは委託者(甲)に知財を集約する設計が一般的です。乙が従来から保有する知財は引き続き乙に帰属する旨を明示し、後の紛争を防ぎます。</w:t>
      </w:r>
    </w:p>
    <w:p>
      <w:pPr>
        <w:numPr>
          <w:ilvl w:val="0"/>
          <w:numId w:val="1014"/>
        </w:numPr>
      </w:pPr>
      <w:r>
        <w:rPr>
          <w:rFonts w:hint="eastAsia"/>
        </w:rPr>
        <w:t xml:space="preserve">本製品及び仕様書に関する一切の知的財産権(特許権、実用新案権、意匠権、商標権、著作権、ノウハウその他一切の知的財産権を含む。)は、甲に帰属する。</w:t>
      </w:r>
    </w:p>
    <w:p>
      <w:pPr>
        <w:numPr>
          <w:ilvl w:val="0"/>
          <w:numId w:val="1014"/>
        </w:numPr>
      </w:pPr>
      <w:r>
        <w:rPr>
          <w:rFonts w:hint="eastAsia"/>
        </w:rPr>
        <w:t xml:space="preserve">乙が本製品の製造過程で創出した知的財産権についても、本契約の目的の範囲内で創出されたものは、原則として甲に帰属する。</w:t>
      </w:r>
    </w:p>
    <w:p>
      <w:pPr>
        <w:numPr>
          <w:ilvl w:val="0"/>
          <w:numId w:val="1014"/>
        </w:numPr>
      </w:pPr>
      <w:r>
        <w:rPr>
          <w:rFonts w:hint="eastAsia"/>
        </w:rPr>
        <w:t xml:space="preserve">前2項の規定にかかわらず、乙が本契約締結前から保有していた知的財産権、及び本契約と独立して創出した知的財産権は、引き続き乙に帰属する。乙は、本製品にこれらが含まれる場合、甲に対し、本製品の製造・販売に必要な範囲で非独占的な利用許諾を行うものとする。</w:t>
      </w:r>
    </w:p>
    <w:p>
      <w:pPr>
        <w:numPr>
          <w:ilvl w:val="0"/>
          <w:numId w:val="1014"/>
        </w:numPr>
      </w:pPr>
      <w:r>
        <w:rPr>
          <w:rFonts w:hint="eastAsia"/>
        </w:rPr>
        <w:t xml:space="preserve">乙は、本契約の遂行により創出された知的財産権について、甲又は甲の指定する第三者による利用に関し、著作者人格権を行使しないものとする。</w:t>
      </w:r>
    </w:p>
    <w:p>
      <w:r>
        <w:pict>
          <v:rect style="width:0;height:1.5pt" o:hralign="center" o:hrstd="t" o:hr="t"/>
        </w:pict>
      </w:r>
    </w:p>
    <w:bookmarkEnd w:id="22"/>
    <w:bookmarkStart w:id="23" w:name="第12条商標ブランドの使用"/>
    <w:p>
      <w:pPr>
        <w:pStyle w:val="Heading2"/>
      </w:pPr>
      <w:r>
        <w:rPr>
          <w:rFonts w:hint="eastAsia"/>
        </w:rPr>
        <w:t xml:space="preserve">第12条(商標・ブランドの使用)</w:t>
      </w:r>
    </w:p>
    <w:p>
      <w:pPr>
        <w:pStyle w:val="FirstParagraph"/>
      </w:pPr>
      <w:r>
        <w:rPr>
          <w:rFonts w:hint="eastAsia"/>
          <w:b/>
          <w:bCs/>
        </w:rPr>
        <w:t xml:space="preserve">【解説】</w:t>
      </w:r>
      <w:r>
        <w:t xml:space="preserve"> </w:t>
      </w:r>
      <w:r>
        <w:rPr>
          <w:rFonts w:hint="eastAsia"/>
        </w:rPr>
        <w:t xml:space="preserve">OEM特有の重要条項です。委託者(甲)のブランドの使用範囲を限定し、契約終了後の使用禁止も明示します。</w:t>
      </w:r>
    </w:p>
    <w:p>
      <w:pPr>
        <w:numPr>
          <w:ilvl w:val="0"/>
          <w:numId w:val="1015"/>
        </w:numPr>
      </w:pPr>
      <w:r>
        <w:rPr>
          <w:rFonts w:hint="eastAsia"/>
        </w:rPr>
        <w:t xml:space="preserve">乙は、本製品の製造に必要な範囲に限り、甲の指定する商標、ロゴその他のブランド要素(以下「甲ブランド」という。)を本製品に表示するものとする。</w:t>
      </w:r>
    </w:p>
    <w:p>
      <w:pPr>
        <w:numPr>
          <w:ilvl w:val="0"/>
          <w:numId w:val="1015"/>
        </w:numPr>
      </w:pPr>
      <w:r>
        <w:rPr>
          <w:rFonts w:hint="eastAsia"/>
        </w:rPr>
        <w:t xml:space="preserve">乙は、甲ブランドを本契約の目的以外に使用してはならず、また甲の事前の書面による承諾なく改変してはならない。</w:t>
      </w:r>
    </w:p>
    <w:p>
      <w:pPr>
        <w:numPr>
          <w:ilvl w:val="0"/>
          <w:numId w:val="1015"/>
        </w:numPr>
      </w:pPr>
      <w:r>
        <w:rPr>
          <w:rFonts w:hint="eastAsia"/>
        </w:rPr>
        <w:t xml:space="preserve">乙は、本契約終了後、本製品又はその類似品の製造・販売・宣伝広告等に甲ブランドを使用してはならない。</w:t>
      </w:r>
    </w:p>
    <w:p>
      <w:pPr>
        <w:numPr>
          <w:ilvl w:val="0"/>
          <w:numId w:val="1015"/>
        </w:numPr>
      </w:pPr>
      <w:r>
        <w:rPr>
          <w:rFonts w:hint="eastAsia"/>
        </w:rPr>
        <w:t xml:space="preserve">乙は、本製品又は本製品の包装等に、乙の商標、ロゴその他乙を表示する要素を、甲の事前の書面による承諾なく表示してはならない。</w:t>
      </w:r>
    </w:p>
    <w:p>
      <w:r>
        <w:pict>
          <v:rect style="width:0;height:1.5pt" o:hralign="center" o:hrstd="t" o:hr="t"/>
        </w:pict>
      </w:r>
    </w:p>
    <w:bookmarkEnd w:id="23"/>
    <w:bookmarkStart w:id="24" w:name="第13条製造物責任及び保険"/>
    <w:p>
      <w:pPr>
        <w:pStyle w:val="Heading2"/>
      </w:pPr>
      <w:r>
        <w:rPr>
          <w:rFonts w:hint="eastAsia"/>
        </w:rPr>
        <w:t xml:space="preserve">第13条(製造物責任及び保険)</w:t>
      </w:r>
    </w:p>
    <w:p>
      <w:pPr>
        <w:pStyle w:val="FirstParagraph"/>
      </w:pPr>
      <w:r>
        <w:rPr>
          <w:rFonts w:hint="eastAsia"/>
          <w:b/>
          <w:bCs/>
        </w:rPr>
        <w:t xml:space="preserve">【解説】</w:t>
      </w:r>
      <w:r>
        <w:t xml:space="preserve"> </w:t>
      </w:r>
      <w:r>
        <w:rPr>
          <w:rFonts w:hint="eastAsia"/>
        </w:rPr>
        <w:t xml:space="preserve">PL法に基づく責任分担を明示。設計欠陥は甲、製造欠陥は乙の責任とするのが一般的な分担です。PL保険の加入義務を規定するのが実務上の標準。</w:t>
      </w:r>
    </w:p>
    <w:p>
      <w:pPr>
        <w:numPr>
          <w:ilvl w:val="0"/>
          <w:numId w:val="1016"/>
        </w:numPr>
      </w:pPr>
      <w:r>
        <w:rPr>
          <w:rFonts w:hint="eastAsia"/>
        </w:rPr>
        <w:t xml:space="preserve">本製品に起因して第三者が損害を被った場合(製造物責任法に基づく損害賠償請求を含む。)、甲乙それぞれの責めに帰すべき事由に応じて責任を分担するものとする。</w:t>
      </w:r>
    </w:p>
    <w:p>
      <w:pPr>
        <w:numPr>
          <w:ilvl w:val="0"/>
          <w:numId w:val="1016"/>
        </w:numPr>
      </w:pPr>
      <w:r>
        <w:rPr>
          <w:rFonts w:hint="eastAsia"/>
        </w:rPr>
        <w:t xml:space="preserve">前項の責任分担の原則は、次のとおりとする。</w:t>
      </w:r>
    </w:p>
    <w:p>
      <w:pPr>
        <w:pStyle w:val="Compact"/>
        <w:numPr>
          <w:ilvl w:val="0"/>
          <w:numId w:val="1017"/>
        </w:numPr>
      </w:pPr>
      <w:r>
        <w:rPr>
          <w:rFonts w:hint="eastAsia"/>
        </w:rPr>
        <w:t xml:space="preserve">設計上の欠陥(仕様書に従って製造された製品に存する欠陥)に起因する損害については、甲の責任とする。</w:t>
      </w:r>
    </w:p>
    <w:p>
      <w:pPr>
        <w:pStyle w:val="Compact"/>
        <w:numPr>
          <w:ilvl w:val="0"/>
          <w:numId w:val="1017"/>
        </w:numPr>
      </w:pPr>
      <w:r>
        <w:rPr>
          <w:rFonts w:hint="eastAsia"/>
        </w:rPr>
        <w:t xml:space="preserve">製造上の欠陥(仕様書に従わない製造に起因する欠陥)に起因する損害については、乙の責任とする。</w:t>
      </w:r>
    </w:p>
    <w:p>
      <w:pPr>
        <w:pStyle w:val="Compact"/>
        <w:numPr>
          <w:ilvl w:val="0"/>
          <w:numId w:val="1017"/>
        </w:numPr>
      </w:pPr>
      <w:r>
        <w:rPr>
          <w:rFonts w:hint="eastAsia"/>
        </w:rPr>
        <w:t xml:space="preserve">指示・警告上の欠陥(取扱説明書・警告表示の不備に起因する欠陥)については、甲が取扱説明書等を作成・提供している場合は甲の責任とし、乙が作成している場合は乙の責任とする。</w:t>
      </w:r>
    </w:p>
    <w:p>
      <w:pPr>
        <w:numPr>
          <w:ilvl w:val="0"/>
          <w:numId w:val="1018"/>
        </w:numPr>
      </w:pPr>
      <w:r>
        <w:rPr>
          <w:rFonts w:hint="eastAsia"/>
        </w:rPr>
        <w:t xml:space="preserve">乙は、本契約期間中、生産物賠償責任保険(PL保険)に加入するものとし、その加入内容を甲の求めに応じて開示する。</w:t>
      </w:r>
    </w:p>
    <w:p>
      <w:pPr>
        <w:numPr>
          <w:ilvl w:val="0"/>
          <w:numId w:val="1018"/>
        </w:numPr>
      </w:pPr>
      <w:r>
        <w:rPr>
          <w:rFonts w:hint="eastAsia"/>
        </w:rPr>
        <w:t xml:space="preserve">本製品に関し、第三者から損害賠償その他の請求を受けた当事者は、直ちに相手方に通知し、相互に協力して対応するものとする。</w:t>
      </w:r>
    </w:p>
    <w:p>
      <w:pPr>
        <w:numPr>
          <w:ilvl w:val="0"/>
          <w:numId w:val="1018"/>
        </w:numPr>
      </w:pPr>
      <w:r>
        <w:rPr>
          <w:rFonts w:hint="eastAsia"/>
        </w:rPr>
        <w:t xml:space="preserve">一方の当事者が第三者に対して損害を賠償した場合、本条第2項の責任分担に従い、他方の当事者に求償することができる。</w:t>
      </w:r>
    </w:p>
    <w:p>
      <w:r>
        <w:pict>
          <v:rect style="width:0;height:1.5pt" o:hralign="center" o:hrstd="t" o:hr="t"/>
        </w:pict>
      </w:r>
    </w:p>
    <w:bookmarkEnd w:id="24"/>
    <w:bookmarkStart w:id="25" w:name="第14条第三者の権利侵害"/>
    <w:p>
      <w:pPr>
        <w:pStyle w:val="Heading2"/>
      </w:pPr>
      <w:r>
        <w:rPr>
          <w:rFonts w:hint="eastAsia"/>
        </w:rPr>
        <w:t xml:space="preserve">第14条(第三者の権利侵害)</w:t>
      </w:r>
    </w:p>
    <w:p>
      <w:pPr>
        <w:pStyle w:val="FirstParagraph"/>
      </w:pPr>
      <w:r>
        <w:rPr>
          <w:rFonts w:hint="eastAsia"/>
          <w:b/>
          <w:bCs/>
        </w:rPr>
        <w:t xml:space="preserve">【解説】</w:t>
      </w:r>
      <w:r>
        <w:t xml:space="preserve"> </w:t>
      </w:r>
      <w:r>
        <w:rPr>
          <w:rFonts w:hint="eastAsia"/>
        </w:rPr>
        <w:t xml:space="preserve">仕様書通りに作った製品が第三者の権利を侵害した場合の責任を、提供主体に負わせる設計です。</w:t>
      </w:r>
    </w:p>
    <w:p>
      <w:pPr>
        <w:numPr>
          <w:ilvl w:val="0"/>
          <w:numId w:val="1019"/>
        </w:numPr>
      </w:pPr>
      <w:r>
        <w:rPr>
          <w:rFonts w:hint="eastAsia"/>
        </w:rPr>
        <w:t xml:space="preserve">甲は、甲が乙に提供する仕様書、図面、提供資料及び甲ブランドが、第三者の知的財産権を侵害していないことを保証する。当該保証違反により乙が損害を被った場合、甲は乙に対し合理的な範囲でこれを補償する。</w:t>
      </w:r>
    </w:p>
    <w:p>
      <w:pPr>
        <w:numPr>
          <w:ilvl w:val="0"/>
          <w:numId w:val="1019"/>
        </w:numPr>
      </w:pPr>
      <w:r>
        <w:rPr>
          <w:rFonts w:hint="eastAsia"/>
        </w:rPr>
        <w:t xml:space="preserve">乙は、本製品の製造方法及び乙が独自に追加した部分が、第三者の知的財産権を侵害していないことを保証する。当該保証違反により甲が損害を被った場合、乙は甲に対し合理的な範囲でこれを補償する。</w:t>
      </w:r>
    </w:p>
    <w:p>
      <w:pPr>
        <w:numPr>
          <w:ilvl w:val="0"/>
          <w:numId w:val="1019"/>
        </w:numPr>
      </w:pPr>
      <w:r>
        <w:rPr>
          <w:rFonts w:hint="eastAsia"/>
        </w:rPr>
        <w:t xml:space="preserve">本製品に関し、第三者から知的財産権侵害の主張を受けた場合、当事者は直ちに相手方に通知し、相互に協力して対応するものとする。</w:t>
      </w:r>
    </w:p>
    <w:p>
      <w:r>
        <w:pict>
          <v:rect style="width:0;height:1.5pt" o:hralign="center" o:hrstd="t" o:hr="t"/>
        </w:pict>
      </w:r>
    </w:p>
    <w:bookmarkEnd w:id="25"/>
    <w:bookmarkStart w:id="26" w:name="第15条競業避止及び他社向け供給制限"/>
    <w:p>
      <w:pPr>
        <w:pStyle w:val="Heading2"/>
      </w:pPr>
      <w:r>
        <w:rPr>
          <w:rFonts w:hint="eastAsia"/>
        </w:rPr>
        <w:t xml:space="preserve">第15条(競業避止及び他社向け供給制限)</w:t>
      </w:r>
    </w:p>
    <w:p>
      <w:pPr>
        <w:pStyle w:val="FirstParagraph"/>
      </w:pPr>
      <w:r>
        <w:rPr>
          <w:rFonts w:hint="eastAsia"/>
          <w:b/>
          <w:bCs/>
        </w:rPr>
        <w:t xml:space="preserve">【解説】</w:t>
      </w:r>
      <w:r>
        <w:t xml:space="preserve"> </w:t>
      </w:r>
      <w:r>
        <w:rPr>
          <w:rFonts w:hint="eastAsia"/>
        </w:rPr>
        <w:t xml:space="preserve">OEM契約特有の重要条項。乙が同種の製品を他社向けに製造することを制限する条項です。期間・範囲を具体化することで、過度な制限による無効リスクを下げます。</w:t>
      </w:r>
    </w:p>
    <w:p>
      <w:pPr>
        <w:numPr>
          <w:ilvl w:val="0"/>
          <w:numId w:val="1020"/>
        </w:numPr>
      </w:pPr>
      <w:r>
        <w:rPr>
          <w:rFonts w:hint="eastAsia"/>
        </w:rPr>
        <w:t xml:space="preserve">乙は、本契約期間中及び本契約終了後[2]年間、甲の事前の書面による承諾なく、本製品と同一又は類似の製品を、甲以外の第三者のために製造し、又は自ら販売してはならない。</w:t>
      </w:r>
    </w:p>
    <w:p>
      <w:pPr>
        <w:numPr>
          <w:ilvl w:val="0"/>
          <w:numId w:val="1020"/>
        </w:numPr>
      </w:pPr>
      <w:r>
        <w:rPr>
          <w:rFonts w:hint="eastAsia"/>
        </w:rPr>
        <w:t xml:space="preserve">前項にいう「類似」とは、仕様書記載の主要な機能、形状、デザイン又はブランド要素のいずれかが同一又は近似することをいう。</w:t>
      </w:r>
    </w:p>
    <w:p>
      <w:pPr>
        <w:numPr>
          <w:ilvl w:val="0"/>
          <w:numId w:val="1020"/>
        </w:numPr>
      </w:pPr>
      <w:r>
        <w:rPr>
          <w:rFonts w:hint="eastAsia"/>
        </w:rPr>
        <w:t xml:space="preserve">乙は、本契約に基づき得た甲のノウハウ、仕様情報を、他の取引先のために流用してはならない。</w:t>
      </w:r>
    </w:p>
    <w:p>
      <w:r>
        <w:pict>
          <v:rect style="width:0;height:1.5pt" o:hralign="center" o:hrstd="t" o:hr="t"/>
        </w:pict>
      </w:r>
    </w:p>
    <w:bookmarkEnd w:id="26"/>
    <w:bookmarkStart w:id="27" w:name="第16条秘密保持"/>
    <w:p>
      <w:pPr>
        <w:pStyle w:val="Heading2"/>
      </w:pPr>
      <w:r>
        <w:rPr>
          <w:rFonts w:hint="eastAsia"/>
        </w:rPr>
        <w:t xml:space="preserve">第16条(秘密保持)</w:t>
      </w:r>
    </w:p>
    <w:p>
      <w:pPr>
        <w:pStyle w:val="FirstParagraph"/>
      </w:pPr>
      <w:r>
        <w:rPr>
          <w:rFonts w:hint="eastAsia"/>
          <w:b/>
          <w:bCs/>
        </w:rPr>
        <w:t xml:space="preserve">【解説】</w:t>
      </w:r>
      <w:r>
        <w:t xml:space="preserve"> </w:t>
      </w:r>
      <w:r>
        <w:rPr>
          <w:rFonts w:hint="eastAsia"/>
        </w:rPr>
        <w:t xml:space="preserve">本契約の履行過程で知り得た相手方の秘密情報の取扱いを定めます。別途NDA締結があれば簡略化可能。</w:t>
      </w:r>
    </w:p>
    <w:p>
      <w:pPr>
        <w:numPr>
          <w:ilvl w:val="0"/>
          <w:numId w:val="1021"/>
        </w:numPr>
      </w:pPr>
      <w:r>
        <w:rPr>
          <w:rFonts w:hint="eastAsia"/>
        </w:rPr>
        <w:t xml:space="preserve">甲及び乙は、本契約の履行に関連して知り得た相手方の技術上、営業上その他事業に関する一切の情報(以下「秘密情報」という。)を、本契約の目的以外に使用してはならず、また相手方の事前の書面又は電磁的方法による承諾なく第三者に開示又は漏えいしてはならない。</w:t>
      </w:r>
    </w:p>
    <w:p>
      <w:pPr>
        <w:numPr>
          <w:ilvl w:val="0"/>
          <w:numId w:val="1021"/>
        </w:numPr>
      </w:pPr>
      <w:r>
        <w:rPr>
          <w:rFonts w:hint="eastAsia"/>
        </w:rPr>
        <w:t xml:space="preserve">前項の規定は、本契約終了後[5]年間有効に存続する。</w:t>
      </w:r>
    </w:p>
    <w:p>
      <w:pPr>
        <w:numPr>
          <w:ilvl w:val="0"/>
          <w:numId w:val="1021"/>
        </w:numPr>
      </w:pPr>
      <w:r>
        <w:rPr>
          <w:rFonts w:hint="eastAsia"/>
        </w:rPr>
        <w:t xml:space="preserve">次の各号のいずれかに該当する情報は、秘密情報に含まれないものとする。</w:t>
      </w:r>
    </w:p>
    <w:p>
      <w:pPr>
        <w:pStyle w:val="Compact"/>
        <w:numPr>
          <w:ilvl w:val="0"/>
          <w:numId w:val="1022"/>
        </w:numPr>
      </w:pPr>
      <w:r>
        <w:rPr>
          <w:rFonts w:hint="eastAsia"/>
        </w:rPr>
        <w:t xml:space="preserve">開示時点で既に公知となっていた情報</w:t>
      </w:r>
    </w:p>
    <w:p>
      <w:pPr>
        <w:pStyle w:val="Compact"/>
        <w:numPr>
          <w:ilvl w:val="0"/>
          <w:numId w:val="1022"/>
        </w:numPr>
      </w:pPr>
      <w:r>
        <w:rPr>
          <w:rFonts w:hint="eastAsia"/>
        </w:rPr>
        <w:t xml:space="preserve">開示後、受領者の責めによらず公知となった情報</w:t>
      </w:r>
    </w:p>
    <w:p>
      <w:pPr>
        <w:pStyle w:val="Compact"/>
        <w:numPr>
          <w:ilvl w:val="0"/>
          <w:numId w:val="1022"/>
        </w:numPr>
      </w:pPr>
      <w:r>
        <w:rPr>
          <w:rFonts w:hint="eastAsia"/>
        </w:rPr>
        <w:t xml:space="preserve">開示時点で受領者が既に正当に保有していた情報</w:t>
      </w:r>
    </w:p>
    <w:p>
      <w:pPr>
        <w:pStyle w:val="Compact"/>
        <w:numPr>
          <w:ilvl w:val="0"/>
          <w:numId w:val="1022"/>
        </w:numPr>
      </w:pPr>
      <w:r>
        <w:rPr>
          <w:rFonts w:hint="eastAsia"/>
        </w:rPr>
        <w:t xml:space="preserve">秘密保持義務を負わない第三者から正当に取得した情報</w:t>
      </w:r>
    </w:p>
    <w:p>
      <w:pPr>
        <w:pStyle w:val="Compact"/>
        <w:numPr>
          <w:ilvl w:val="0"/>
          <w:numId w:val="1022"/>
        </w:numPr>
      </w:pPr>
      <w:r>
        <w:rPr>
          <w:rFonts w:hint="eastAsia"/>
        </w:rPr>
        <w:t xml:space="preserve">受領者が独自に開発した情報</w:t>
      </w:r>
    </w:p>
    <w:p>
      <w:r>
        <w:pict>
          <v:rect style="width:0;height:1.5pt" o:hralign="center" o:hrstd="t" o:hr="t"/>
        </w:pict>
      </w:r>
    </w:p>
    <w:bookmarkEnd w:id="27"/>
    <w:bookmarkStart w:id="28" w:name="第17条個人情報の取扱い"/>
    <w:p>
      <w:pPr>
        <w:pStyle w:val="Heading2"/>
      </w:pPr>
      <w:r>
        <w:rPr>
          <w:rFonts w:hint="eastAsia"/>
        </w:rPr>
        <w:t xml:space="preserve">第17条(個人情報の取扱い)</w:t>
      </w:r>
    </w:p>
    <w:p>
      <w:pPr>
        <w:pStyle w:val="FirstParagraph"/>
      </w:pPr>
      <w:r>
        <w:rPr>
          <w:rFonts w:hint="eastAsia"/>
          <w:b/>
          <w:bCs/>
        </w:rPr>
        <w:t xml:space="preserve">【解説】</w:t>
      </w:r>
      <w:r>
        <w:t xml:space="preserve"> </w:t>
      </w:r>
      <w:r>
        <w:rPr>
          <w:rFonts w:hint="eastAsia"/>
        </w:rPr>
        <w:t xml:space="preserve">本製品の製造過程で個人情報を取り扱う場合に備えた条項。個人情報を扱わない場合は削除可能。</w:t>
      </w:r>
    </w:p>
    <w:p>
      <w:pPr>
        <w:numPr>
          <w:ilvl w:val="0"/>
          <w:numId w:val="1023"/>
        </w:numPr>
      </w:pPr>
      <w:r>
        <w:rPr>
          <w:rFonts w:hint="eastAsia"/>
        </w:rPr>
        <w:t xml:space="preserve">甲及び乙は、本契約の履行に関連して個人情報(個人情報の保護に関する法律第2条第1項に定める個人情報をいう。)を取り扱う場合、同法その他関連法令を遵守し、適切に取り扱うものとする。</w:t>
      </w:r>
    </w:p>
    <w:p>
      <w:pPr>
        <w:numPr>
          <w:ilvl w:val="0"/>
          <w:numId w:val="1023"/>
        </w:numPr>
      </w:pPr>
      <w:r>
        <w:rPr>
          <w:rFonts w:hint="eastAsia"/>
        </w:rPr>
        <w:t xml:space="preserve">個人情報の漏えい等が発生した場合、直ちに相手方に通知し、必要な措置を講じるものとする。</w:t>
      </w:r>
    </w:p>
    <w:p>
      <w:r>
        <w:pict>
          <v:rect style="width:0;height:1.5pt" o:hralign="center" o:hrstd="t" o:hr="t"/>
        </w:pict>
      </w:r>
    </w:p>
    <w:bookmarkEnd w:id="28"/>
    <w:bookmarkStart w:id="29" w:name="第18条反社会的勢力の排除"/>
    <w:p>
      <w:pPr>
        <w:pStyle w:val="Heading2"/>
      </w:pPr>
      <w:r>
        <w:rPr>
          <w:rFonts w:hint="eastAsia"/>
        </w:rPr>
        <w:t xml:space="preserve">第18条(反社会的勢力の排除)</w:t>
      </w:r>
    </w:p>
    <w:p>
      <w:pPr>
        <w:pStyle w:val="FirstParagraph"/>
      </w:pPr>
      <w:r>
        <w:rPr>
          <w:rFonts w:hint="eastAsia"/>
          <w:b/>
          <w:bCs/>
        </w:rPr>
        <w:t xml:space="preserve">【解説】</w:t>
      </w:r>
      <w:r>
        <w:t xml:space="preserve"> </w:t>
      </w:r>
      <w:r>
        <w:rPr>
          <w:rFonts w:hint="eastAsia"/>
        </w:rPr>
        <w:t xml:space="preserve">全国の暴排条例に対応する条項です。違反時には催告なしの解除権が認められます。</w:t>
      </w:r>
    </w:p>
    <w:p>
      <w:pPr>
        <w:numPr>
          <w:ilvl w:val="0"/>
          <w:numId w:val="1024"/>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という。)に該当しないことを表明し、保証する。</w:t>
      </w:r>
    </w:p>
    <w:p>
      <w:pPr>
        <w:numPr>
          <w:ilvl w:val="0"/>
          <w:numId w:val="1024"/>
        </w:numPr>
      </w:pPr>
      <w:r>
        <w:rPr>
          <w:rFonts w:hint="eastAsia"/>
        </w:rPr>
        <w:t xml:space="preserve">甲及び乙は、自ら又は第三者を利用して、次の各号に該当する行為を行わないことを表明し、保証する。</w:t>
      </w:r>
    </w:p>
    <w:p>
      <w:pPr>
        <w:pStyle w:val="Compact"/>
        <w:numPr>
          <w:ilvl w:val="0"/>
          <w:numId w:val="1025"/>
        </w:numPr>
      </w:pPr>
      <w:r>
        <w:rPr>
          <w:rFonts w:hint="eastAsia"/>
        </w:rPr>
        <w:t xml:space="preserve">暴力的な要求行為</w:t>
      </w:r>
    </w:p>
    <w:p>
      <w:pPr>
        <w:pStyle w:val="Compact"/>
        <w:numPr>
          <w:ilvl w:val="0"/>
          <w:numId w:val="1025"/>
        </w:numPr>
      </w:pPr>
      <w:r>
        <w:rPr>
          <w:rFonts w:hint="eastAsia"/>
        </w:rPr>
        <w:t xml:space="preserve">法的な責任を超えた不当な要求行為</w:t>
      </w:r>
    </w:p>
    <w:p>
      <w:pPr>
        <w:pStyle w:val="Compact"/>
        <w:numPr>
          <w:ilvl w:val="0"/>
          <w:numId w:val="1025"/>
        </w:numPr>
      </w:pPr>
      <w:r>
        <w:rPr>
          <w:rFonts w:hint="eastAsia"/>
        </w:rPr>
        <w:t xml:space="preserve">取引に関して、脅迫的な言動をし、又は暴力を用いる行為</w:t>
      </w:r>
    </w:p>
    <w:p>
      <w:pPr>
        <w:pStyle w:val="Compact"/>
        <w:numPr>
          <w:ilvl w:val="0"/>
          <w:numId w:val="1025"/>
        </w:numPr>
      </w:pPr>
      <w:r>
        <w:rPr>
          <w:rFonts w:hint="eastAsia"/>
        </w:rPr>
        <w:t xml:space="preserve">風説を流布し、偽計又は威力を用いて相手方の信用を毀損し、又は業務を妨害する行為</w:t>
      </w:r>
    </w:p>
    <w:p>
      <w:pPr>
        <w:pStyle w:val="Compact"/>
        <w:numPr>
          <w:ilvl w:val="0"/>
          <w:numId w:val="1025"/>
        </w:numPr>
      </w:pPr>
      <w:r>
        <w:rPr>
          <w:rFonts w:hint="eastAsia"/>
        </w:rPr>
        <w:t xml:space="preserve">その他前各号に準ずる行為</w:t>
      </w:r>
    </w:p>
    <w:p>
      <w:pPr>
        <w:pStyle w:val="Compact"/>
        <w:numPr>
          <w:ilvl w:val="0"/>
          <w:numId w:val="1026"/>
        </w:numPr>
      </w:pPr>
      <w:r>
        <w:rPr>
          <w:rFonts w:hint="eastAsia"/>
        </w:rPr>
        <w:t xml:space="preserve">甲又は乙が前2項の表明保証に違反した場合、相手方は何らの催告を要せず、本契約を直ちに解除することができる。この場合、解除した側は、相手方に対し、これにより生じた損害の賠償を請求することができる。</w:t>
      </w:r>
    </w:p>
    <w:p>
      <w:r>
        <w:pict>
          <v:rect style="width:0;height:1.5pt" o:hralign="center" o:hrstd="t" o:hr="t"/>
        </w:pict>
      </w:r>
    </w:p>
    <w:bookmarkEnd w:id="29"/>
    <w:bookmarkStart w:id="30" w:name="第19条解除"/>
    <w:p>
      <w:pPr>
        <w:pStyle w:val="Heading2"/>
      </w:pPr>
      <w:r>
        <w:rPr>
          <w:rFonts w:hint="eastAsia"/>
        </w:rPr>
        <w:t xml:space="preserve">第19条(解除)</w:t>
      </w:r>
    </w:p>
    <w:p>
      <w:pPr>
        <w:pStyle w:val="FirstParagraph"/>
      </w:pPr>
      <w:r>
        <w:rPr>
          <w:rFonts w:hint="eastAsia"/>
          <w:b/>
          <w:bCs/>
        </w:rPr>
        <w:t xml:space="preserve">【解説】</w:t>
      </w:r>
      <w:r>
        <w:t xml:space="preserve"> </w:t>
      </w:r>
      <w:r>
        <w:rPr>
          <w:rFonts w:hint="eastAsia"/>
        </w:rPr>
        <w:t xml:space="preserve">契約解除の事由を明確化します。催告解除と無催告解除を区別する標準的な構成です。</w:t>
      </w:r>
    </w:p>
    <w:p>
      <w:pPr>
        <w:numPr>
          <w:ilvl w:val="0"/>
          <w:numId w:val="1027"/>
        </w:numPr>
      </w:pPr>
      <w:r>
        <w:rPr>
          <w:rFonts w:hint="eastAsia"/>
        </w:rPr>
        <w:t xml:space="preserve">甲又は乙は、相手方が本契約のいずれかの条項に違反し、相当の期間を定めた催告にもかかわらず是正されない場合、本契約を解除することができる。</w:t>
      </w:r>
    </w:p>
    <w:p>
      <w:pPr>
        <w:numPr>
          <w:ilvl w:val="0"/>
          <w:numId w:val="1027"/>
        </w:numPr>
      </w:pPr>
      <w:r>
        <w:rPr>
          <w:rFonts w:hint="eastAsia"/>
        </w:rPr>
        <w:t xml:space="preserve">前項にかかわらず、甲又は乙は、相手方が次の各号のいずれかに該当した場合、何らの催告なくして本契約を解除することができる。</w:t>
      </w:r>
    </w:p>
    <w:p>
      <w:pPr>
        <w:pStyle w:val="Compact"/>
        <w:numPr>
          <w:ilvl w:val="0"/>
          <w:numId w:val="1028"/>
        </w:numPr>
      </w:pPr>
      <w:r>
        <w:rPr>
          <w:rFonts w:hint="eastAsia"/>
        </w:rPr>
        <w:t xml:space="preserve">支払停止若しくは支払不能となり、又は破産手続開始、民事再生手続開始、会社更生手続開始、特別清算開始の申立てがなされたとき</w:t>
      </w:r>
    </w:p>
    <w:p>
      <w:pPr>
        <w:pStyle w:val="Compact"/>
        <w:numPr>
          <w:ilvl w:val="0"/>
          <w:numId w:val="1028"/>
        </w:numPr>
      </w:pPr>
      <w:r>
        <w:rPr>
          <w:rFonts w:hint="eastAsia"/>
        </w:rPr>
        <w:t xml:space="preserve">手形又は小切手の不渡りを出したとき</w:t>
      </w:r>
    </w:p>
    <w:p>
      <w:pPr>
        <w:pStyle w:val="Compact"/>
        <w:numPr>
          <w:ilvl w:val="0"/>
          <w:numId w:val="1028"/>
        </w:numPr>
      </w:pPr>
      <w:r>
        <w:rPr>
          <w:rFonts w:hint="eastAsia"/>
        </w:rPr>
        <w:t xml:space="preserve">差押え、仮差押え、仮処分、強制執行又は競売の申立てを受けたとき</w:t>
      </w:r>
    </w:p>
    <w:p>
      <w:pPr>
        <w:pStyle w:val="Compact"/>
        <w:numPr>
          <w:ilvl w:val="0"/>
          <w:numId w:val="1028"/>
        </w:numPr>
      </w:pPr>
      <w:r>
        <w:rPr>
          <w:rFonts w:hint="eastAsia"/>
        </w:rPr>
        <w:t xml:space="preserve">公租公課の滞納処分を受けたとき</w:t>
      </w:r>
    </w:p>
    <w:p>
      <w:pPr>
        <w:pStyle w:val="Compact"/>
        <w:numPr>
          <w:ilvl w:val="0"/>
          <w:numId w:val="1028"/>
        </w:numPr>
      </w:pPr>
      <w:r>
        <w:rPr>
          <w:rFonts w:hint="eastAsia"/>
        </w:rPr>
        <w:t xml:space="preserve">解散、合併又は事業の全部若しくは重要な一部の譲渡の決議をしたとき</w:t>
      </w:r>
    </w:p>
    <w:p>
      <w:pPr>
        <w:pStyle w:val="Compact"/>
        <w:numPr>
          <w:ilvl w:val="0"/>
          <w:numId w:val="1028"/>
        </w:numPr>
      </w:pPr>
      <w:r>
        <w:rPr>
          <w:rFonts w:hint="eastAsia"/>
        </w:rPr>
        <w:t xml:space="preserve">その他財産状態が悪化し、又はそのおそれがあると認められる相当の事由があるとき</w:t>
      </w:r>
    </w:p>
    <w:p>
      <w:pPr>
        <w:pStyle w:val="Compact"/>
        <w:numPr>
          <w:ilvl w:val="0"/>
          <w:numId w:val="1029"/>
        </w:numPr>
      </w:pPr>
      <w:r>
        <w:rPr>
          <w:rFonts w:hint="eastAsia"/>
        </w:rPr>
        <w:t xml:space="preserve">前2項の解除は、解除した側の損害賠償請求を妨げない。</w:t>
      </w:r>
    </w:p>
    <w:p>
      <w:r>
        <w:pict>
          <v:rect style="width:0;height:1.5pt" o:hralign="center" o:hrstd="t" o:hr="t"/>
        </w:pict>
      </w:r>
    </w:p>
    <w:bookmarkEnd w:id="30"/>
    <w:bookmarkStart w:id="31" w:name="第20条契約終了時の対応"/>
    <w:p>
      <w:pPr>
        <w:pStyle w:val="Heading2"/>
      </w:pPr>
      <w:r>
        <w:rPr>
          <w:rFonts w:hint="eastAsia"/>
        </w:rPr>
        <w:t xml:space="preserve">第20条(契約終了時の対応)</w:t>
      </w:r>
    </w:p>
    <w:p>
      <w:pPr>
        <w:pStyle w:val="FirstParagraph"/>
      </w:pPr>
      <w:r>
        <w:rPr>
          <w:rFonts w:hint="eastAsia"/>
          <w:b/>
          <w:bCs/>
        </w:rPr>
        <w:t xml:space="preserve">【解説】</w:t>
      </w:r>
      <w:r>
        <w:t xml:space="preserve"> </w:t>
      </w:r>
      <w:r>
        <w:rPr>
          <w:rFonts w:hint="eastAsia"/>
        </w:rPr>
        <w:t xml:space="preserve">OEM特有の重要条項です。生産打ち切り時の残存部品買取・補修部品供給義務を定めることで、契約終了時のトラブルを予防します。</w:t>
      </w:r>
    </w:p>
    <w:p>
      <w:pPr>
        <w:numPr>
          <w:ilvl w:val="0"/>
          <w:numId w:val="1030"/>
        </w:numPr>
      </w:pPr>
      <w:r>
        <w:rPr>
          <w:rFonts w:hint="eastAsia"/>
        </w:rPr>
        <w:t xml:space="preserve">甲又は乙は、本契約を中途解約する場合、相手方に対し[3]ヶ月前までに書面又は電磁的方法により予告するものとする。</w:t>
      </w:r>
    </w:p>
    <w:p>
      <w:pPr>
        <w:numPr>
          <w:ilvl w:val="0"/>
          <w:numId w:val="1030"/>
        </w:numPr>
      </w:pPr>
      <w:r>
        <w:rPr>
          <w:rFonts w:hint="eastAsia"/>
        </w:rPr>
        <w:t xml:space="preserve">本契約終了時に乙が保有する本製品専用の原材料・部品及び仕掛品(以下「残存部品等」という。)について、甲は、乙の取得価額により、これを買い取るものとする。ただし、残存部品等が、契約終了通知時点の月平均発注数量に基づき乙が合理的に必要と判断した量を超える場合、超過分はこの限りでない。</w:t>
      </w:r>
    </w:p>
    <w:p>
      <w:pPr>
        <w:numPr>
          <w:ilvl w:val="0"/>
          <w:numId w:val="1030"/>
        </w:numPr>
      </w:pPr>
      <w:r>
        <w:rPr>
          <w:rFonts w:hint="eastAsia"/>
        </w:rPr>
        <w:t xml:space="preserve">乙は、本契約終了後[3]年間、本製品の補修部品の供給に応じる体制を維持するよう努めるものとする。補修部品の単価及び供給条件は、甲乙協議の上、別途定める。</w:t>
      </w:r>
    </w:p>
    <w:p>
      <w:pPr>
        <w:numPr>
          <w:ilvl w:val="0"/>
          <w:numId w:val="1030"/>
        </w:numPr>
      </w:pPr>
      <w:r>
        <w:rPr>
          <w:rFonts w:hint="eastAsia"/>
        </w:rPr>
        <w:t xml:space="preserve">本契約終了時、乙は、甲の指示に従い、甲所有の金型等、提供資料及び秘密情報を返還又は廃棄するものとする。</w:t>
      </w:r>
    </w:p>
    <w:p>
      <w:r>
        <w:pict>
          <v:rect style="width:0;height:1.5pt" o:hralign="center" o:hrstd="t" o:hr="t"/>
        </w:pict>
      </w:r>
    </w:p>
    <w:bookmarkEnd w:id="31"/>
    <w:bookmarkStart w:id="32" w:name="第21条損害賠償"/>
    <w:p>
      <w:pPr>
        <w:pStyle w:val="Heading2"/>
      </w:pPr>
      <w:r>
        <w:rPr>
          <w:rFonts w:hint="eastAsia"/>
        </w:rPr>
        <w:t xml:space="preserve">第21条(損害賠償)</w:t>
      </w:r>
    </w:p>
    <w:p>
      <w:pPr>
        <w:pStyle w:val="FirstParagraph"/>
      </w:pPr>
      <w:r>
        <w:rPr>
          <w:rFonts w:hint="eastAsia"/>
          <w:b/>
          <w:bCs/>
        </w:rPr>
        <w:t xml:space="preserve">【解説】</w:t>
      </w:r>
      <w:r>
        <w:t xml:space="preserve"> </w:t>
      </w:r>
      <w:r>
        <w:rPr>
          <w:rFonts w:hint="eastAsia"/>
        </w:rPr>
        <w:t xml:space="preserve">損害賠償の範囲を定めます。「直接かつ通常の損害」とすることで間接損害(逸失利益等)を除外するのが実務上一般的です。ただし、PL関連損害(第13条)は本条上限の適用外とするのが安全。</w:t>
      </w:r>
    </w:p>
    <w:p>
      <w:pPr>
        <w:numPr>
          <w:ilvl w:val="0"/>
          <w:numId w:val="1031"/>
        </w:numPr>
      </w:pPr>
      <w:r>
        <w:rPr>
          <w:rFonts w:hint="eastAsia"/>
        </w:rPr>
        <w:t xml:space="preserve">甲又は乙が本契約に違反し、相手方に損害を与えた場合、その損害(直接かつ通常の損害に限る。)を賠償するものとする。</w:t>
      </w:r>
    </w:p>
    <w:p>
      <w:pPr>
        <w:numPr>
          <w:ilvl w:val="0"/>
          <w:numId w:val="1031"/>
        </w:numPr>
      </w:pPr>
      <w:r>
        <w:rPr>
          <w:rFonts w:hint="eastAsia"/>
        </w:rPr>
        <w:t xml:space="preserve">前項の損害賠償の額は、過去[12]ヶ月間に支払われた又は支払われるべき製造代金の総額を上限とする。ただし、次の各号に該当する場合は、この上限の適用を受けないものとする。</w:t>
      </w:r>
    </w:p>
    <w:p>
      <w:pPr>
        <w:pStyle w:val="Compact"/>
        <w:numPr>
          <w:ilvl w:val="0"/>
          <w:numId w:val="1032"/>
        </w:numPr>
      </w:pPr>
      <w:r>
        <w:rPr>
          <w:rFonts w:hint="eastAsia"/>
        </w:rPr>
        <w:t xml:space="preserve">故意又は重大な過失による違反</w:t>
      </w:r>
    </w:p>
    <w:p>
      <w:pPr>
        <w:pStyle w:val="Compact"/>
        <w:numPr>
          <w:ilvl w:val="0"/>
          <w:numId w:val="1032"/>
        </w:numPr>
      </w:pPr>
      <w:r>
        <w:rPr>
          <w:rFonts w:hint="eastAsia"/>
        </w:rPr>
        <w:t xml:space="preserve">第13条(製造物責任)に基づく責任</w:t>
      </w:r>
    </w:p>
    <w:p>
      <w:pPr>
        <w:pStyle w:val="Compact"/>
        <w:numPr>
          <w:ilvl w:val="0"/>
          <w:numId w:val="1032"/>
        </w:numPr>
      </w:pPr>
      <w:r>
        <w:rPr>
          <w:rFonts w:hint="eastAsia"/>
        </w:rPr>
        <w:t xml:space="preserve">第14条(第三者の権利侵害)に基づく補償責任</w:t>
      </w:r>
    </w:p>
    <w:p>
      <w:pPr>
        <w:pStyle w:val="Compact"/>
        <w:numPr>
          <w:ilvl w:val="0"/>
          <w:numId w:val="1032"/>
        </w:numPr>
      </w:pPr>
      <w:r>
        <w:rPr>
          <w:rFonts w:hint="eastAsia"/>
        </w:rPr>
        <w:t xml:space="preserve">第16条(秘密保持)違反</w:t>
      </w:r>
    </w:p>
    <w:p>
      <w:pPr>
        <w:pStyle w:val="Compact"/>
        <w:numPr>
          <w:ilvl w:val="0"/>
          <w:numId w:val="1032"/>
        </w:numPr>
      </w:pPr>
      <w:r>
        <w:rPr>
          <w:rFonts w:hint="eastAsia"/>
        </w:rPr>
        <w:t xml:space="preserve">第18条(反社会的勢力の排除)違反</w:t>
      </w:r>
    </w:p>
    <w:p>
      <w:r>
        <w:pict>
          <v:rect style="width:0;height:1.5pt" o:hralign="center" o:hrstd="t" o:hr="t"/>
        </w:pict>
      </w:r>
    </w:p>
    <w:bookmarkEnd w:id="32"/>
    <w:bookmarkStart w:id="33" w:name="第22条不可抗力"/>
    <w:p>
      <w:pPr>
        <w:pStyle w:val="Heading2"/>
      </w:pPr>
      <w:r>
        <w:rPr>
          <w:rFonts w:hint="eastAsia"/>
        </w:rPr>
        <w:t xml:space="preserve">第22条(不可抗力)</w:t>
      </w:r>
    </w:p>
    <w:p>
      <w:pPr>
        <w:pStyle w:val="FirstParagraph"/>
      </w:pPr>
      <w:r>
        <w:rPr>
          <w:rFonts w:hint="eastAsia"/>
          <w:b/>
          <w:bCs/>
        </w:rPr>
        <w:t xml:space="preserve">【解説】</w:t>
      </w:r>
      <w:r>
        <w:t xml:space="preserve"> </w:t>
      </w:r>
      <w:r>
        <w:rPr>
          <w:rFonts w:hint="eastAsia"/>
        </w:rPr>
        <w:t xml:space="preserve">天災・戦争・パンデミック等の不可抗力による契約不履行を免責する条項です。コロナ禍以降、サプライチェーン分断時の対応として重要性が再認識されています。</w:t>
      </w:r>
    </w:p>
    <w:p>
      <w:pPr>
        <w:numPr>
          <w:ilvl w:val="0"/>
          <w:numId w:val="1033"/>
        </w:numPr>
      </w:pPr>
      <w:r>
        <w:rPr>
          <w:rFonts w:hint="eastAsia"/>
        </w:rPr>
        <w:t xml:space="preserve">甲又は乙は、地震、台風、洪水、津波、火災、戦争、暴動、内乱、テロ、感染症の流行、サプライチェーンの分断、法令の制定若しくは改廃、政府機関の命令若しくは処分その他自己の責めに帰さない事由により本契約の履行が遅延又は不能となった場合、これによって相手方に生じた損害について責任を負わないものとする。</w:t>
      </w:r>
    </w:p>
    <w:p>
      <w:pPr>
        <w:numPr>
          <w:ilvl w:val="0"/>
          <w:numId w:val="1033"/>
        </w:numPr>
      </w:pPr>
      <w:r>
        <w:rPr>
          <w:rFonts w:hint="eastAsia"/>
        </w:rPr>
        <w:t xml:space="preserve">前項の事由が発生した当事者は、直ちにその旨を相手方に通知するとともに、影響の最小化に努めるものとする。</w:t>
      </w:r>
    </w:p>
    <w:p>
      <w:r>
        <w:pict>
          <v:rect style="width:0;height:1.5pt" o:hralign="center" o:hrstd="t" o:hr="t"/>
        </w:pict>
      </w:r>
    </w:p>
    <w:bookmarkEnd w:id="33"/>
    <w:bookmarkStart w:id="34" w:name="第23条譲渡禁止"/>
    <w:p>
      <w:pPr>
        <w:pStyle w:val="Heading2"/>
      </w:pPr>
      <w:r>
        <w:rPr>
          <w:rFonts w:hint="eastAsia"/>
        </w:rPr>
        <w:t xml:space="preserve">第23条(譲渡禁止)</w:t>
      </w:r>
    </w:p>
    <w:p>
      <w:pPr>
        <w:pStyle w:val="FirstParagraph"/>
      </w:pPr>
      <w:r>
        <w:rPr>
          <w:rFonts w:hint="eastAsia"/>
          <w:b/>
          <w:bCs/>
        </w:rPr>
        <w:t xml:space="preserve">【解説】</w:t>
      </w:r>
      <w:r>
        <w:t xml:space="preserve"> </w:t>
      </w:r>
      <w:r>
        <w:rPr>
          <w:rFonts w:hint="eastAsia"/>
        </w:rPr>
        <w:t xml:space="preserve">契約上の地位や権利義務を勝手に第三者へ移転することを禁止します。M&amp;A時にも問題となるため、事前承諾を要件とします。</w:t>
      </w:r>
    </w:p>
    <w:p>
      <w:pPr>
        <w:pStyle w:val="BodyText"/>
      </w:pPr>
      <w:r>
        <w:rPr>
          <w:rFonts w:hint="eastAsia"/>
        </w:rPr>
        <w:t xml:space="preserve">甲及び乙は、相手方の事前の書面又は電磁的方法による承諾なく、本契約上の地位又は本契約に基づく権利義務の全部若しくは一部を第三者に譲渡、承継、担保提供その他の方法により処分してはならない。</w:t>
      </w:r>
    </w:p>
    <w:p>
      <w:r>
        <w:pict>
          <v:rect style="width:0;height:1.5pt" o:hralign="center" o:hrstd="t" o:hr="t"/>
        </w:pict>
      </w:r>
    </w:p>
    <w:bookmarkEnd w:id="34"/>
    <w:bookmarkStart w:id="35" w:name="第24条契約期間"/>
    <w:p>
      <w:pPr>
        <w:pStyle w:val="Heading2"/>
      </w:pPr>
      <w:r>
        <w:rPr>
          <w:rFonts w:hint="eastAsia"/>
        </w:rPr>
        <w:t xml:space="preserve">第24条(契約期間)</w:t>
      </w:r>
    </w:p>
    <w:p>
      <w:pPr>
        <w:pStyle w:val="FirstParagraph"/>
      </w:pPr>
      <w:r>
        <w:rPr>
          <w:rFonts w:hint="eastAsia"/>
          <w:b/>
          <w:bCs/>
        </w:rPr>
        <w:t xml:space="preserve">【解説】</w:t>
      </w:r>
      <w:r>
        <w:t xml:space="preserve"> </w:t>
      </w:r>
      <w:r>
        <w:rPr>
          <w:rFonts w:hint="eastAsia"/>
        </w:rPr>
        <w:t xml:space="preserve">契約期間と自動更新の有無を定めます。製造業では3〜6ヶ月の解約予告期間が一般的です。</w:t>
      </w:r>
    </w:p>
    <w:p>
      <w:pPr>
        <w:numPr>
          <w:ilvl w:val="0"/>
          <w:numId w:val="1034"/>
        </w:numPr>
      </w:pPr>
      <w:r>
        <w:rPr>
          <w:rFonts w:hint="eastAsia"/>
        </w:rPr>
        <w:t xml:space="preserve">本契約の有効期間は、本契約締結日から[1]年間とする。</w:t>
      </w:r>
    </w:p>
    <w:p>
      <w:pPr>
        <w:numPr>
          <w:ilvl w:val="0"/>
          <w:numId w:val="1034"/>
        </w:numPr>
      </w:pPr>
      <w:r>
        <w:rPr>
          <w:rFonts w:hint="eastAsia"/>
        </w:rPr>
        <w:t xml:space="preserve">期間満了の[3]ヶ月前までに甲乙いずれからも書面又は電磁的方法による別段の意思表示がない場合、本契約は同一条件でさらに[1]年間延長されるものとし、以後も同様とする。</w:t>
      </w:r>
    </w:p>
    <w:p>
      <w:r>
        <w:pict>
          <v:rect style="width:0;height:1.5pt" o:hralign="center" o:hrstd="t" o:hr="t"/>
        </w:pict>
      </w:r>
    </w:p>
    <w:bookmarkEnd w:id="35"/>
    <w:bookmarkStart w:id="36" w:name="第25条準拠法及び合意管轄"/>
    <w:p>
      <w:pPr>
        <w:pStyle w:val="Heading2"/>
      </w:pPr>
      <w:r>
        <w:rPr>
          <w:rFonts w:hint="eastAsia"/>
        </w:rPr>
        <w:t xml:space="preserve">第25条(準拠法及び合意管轄)</w:t>
      </w:r>
    </w:p>
    <w:p>
      <w:pPr>
        <w:pStyle w:val="FirstParagraph"/>
      </w:pPr>
      <w:r>
        <w:rPr>
          <w:rFonts w:hint="eastAsia"/>
          <w:b/>
          <w:bCs/>
        </w:rPr>
        <w:t xml:space="preserve">【解説】</w:t>
      </w:r>
      <w:r>
        <w:t xml:space="preserve"> </w:t>
      </w:r>
      <w:r>
        <w:rPr>
          <w:rFonts w:hint="eastAsia"/>
        </w:rPr>
        <w:t xml:space="preserve">国際取引でなければ日本法準拠が基本。製造業のOEM契約では、海外調達も視野に入れる場合、英文契約・国際取引法への対応も検討が必要です。</w:t>
      </w:r>
    </w:p>
    <w:p>
      <w:pPr>
        <w:numPr>
          <w:ilvl w:val="0"/>
          <w:numId w:val="1035"/>
        </w:numPr>
      </w:pPr>
      <w:r>
        <w:rPr>
          <w:rFonts w:hint="eastAsia"/>
        </w:rPr>
        <w:t xml:space="preserve">本契約は、日本法に準拠し、日本法に従って解釈されるものとする。</w:t>
      </w:r>
    </w:p>
    <w:p>
      <w:pPr>
        <w:numPr>
          <w:ilvl w:val="0"/>
          <w:numId w:val="1035"/>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6"/>
    <w:bookmarkStart w:id="37" w:name="第26条協議事項"/>
    <w:p>
      <w:pPr>
        <w:pStyle w:val="Heading2"/>
      </w:pPr>
      <w:r>
        <w:rPr>
          <w:rFonts w:hint="eastAsia"/>
        </w:rPr>
        <w:t xml:space="preserve">第26条(協議事項)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契約に定めのない事項や解釈に疑義が生じた場合の対応を定めます。実務上ほぼ必須の一般条項です。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7"/>
    <w:bookmarkStart w:id="38"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住所:[甲の本店所在地]</w:t>
      </w:r>
      <w:r>
        <w:t xml:space="preserve"> </w:t>
      </w:r>
      <w:r>
        <w:rPr>
          <w:rFonts w:hint="eastAsia"/>
        </w:rPr>
        <w:t xml:space="preserve">名称:[甲の正式名称]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w:t>
      </w:r>
      <w:r>
        <w:t xml:space="preserve"> </w:t>
      </w:r>
      <w:r>
        <w:rPr>
          <w:rFonts w:hint="eastAsia"/>
        </w:rPr>
        <w:t xml:space="preserve">住所:[乙の本店所在地]</w:t>
      </w:r>
      <w:r>
        <w:t xml:space="preserve"> </w:t>
      </w:r>
      <w:r>
        <w:rPr>
          <w:rFonts w:hint="eastAsia"/>
        </w:rPr>
        <w:t xml:space="preserve">名称:[乙の正式名称]</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38"/>
    <w:bookmarkStart w:id="39" w:name="別紙製品仕様書必要に応じて添付"/>
    <w:p>
      <w:pPr>
        <w:pStyle w:val="Heading2"/>
      </w:pPr>
      <w:r>
        <w:rPr>
          <w:rFonts w:hint="eastAsia"/>
        </w:rPr>
        <w:t xml:space="preserve">別紙「製品仕様書」(必要に応じて添付)</w:t>
      </w:r>
    </w:p>
    <w:p>
      <w:pPr>
        <w:pStyle w:val="FirstParagraph"/>
      </w:pPr>
      <w:r>
        <w:rPr>
          <w:rFonts w:hint="eastAsia"/>
        </w:rPr>
        <w:t xml:space="preserve">[本製品の詳細仕様を記載]</w:t>
      </w:r>
    </w:p>
    <w:p>
      <w:pPr>
        <w:pStyle w:val="Compact"/>
        <w:numPr>
          <w:ilvl w:val="0"/>
          <w:numId w:val="1036"/>
        </w:numPr>
      </w:pPr>
      <w:r>
        <w:rPr>
          <w:rFonts w:hint="eastAsia"/>
        </w:rPr>
        <w:t xml:space="preserve">製品名・型番</w:t>
      </w:r>
    </w:p>
    <w:p>
      <w:pPr>
        <w:pStyle w:val="Compact"/>
        <w:numPr>
          <w:ilvl w:val="0"/>
          <w:numId w:val="1036"/>
        </w:numPr>
      </w:pPr>
      <w:r>
        <w:rPr>
          <w:rFonts w:hint="eastAsia"/>
        </w:rPr>
        <w:t xml:space="preserve">寸法・重量・材質</w:t>
      </w:r>
    </w:p>
    <w:p>
      <w:pPr>
        <w:pStyle w:val="Compact"/>
        <w:numPr>
          <w:ilvl w:val="0"/>
          <w:numId w:val="1036"/>
        </w:numPr>
      </w:pPr>
      <w:r>
        <w:rPr>
          <w:rFonts w:hint="eastAsia"/>
        </w:rPr>
        <w:t xml:space="preserve">性能・機能</w:t>
      </w:r>
    </w:p>
    <w:p>
      <w:pPr>
        <w:pStyle w:val="Compact"/>
        <w:numPr>
          <w:ilvl w:val="0"/>
          <w:numId w:val="1036"/>
        </w:numPr>
      </w:pPr>
      <w:r>
        <w:rPr>
          <w:rFonts w:hint="eastAsia"/>
        </w:rPr>
        <w:t xml:space="preserve">部品構成</w:t>
      </w:r>
    </w:p>
    <w:p>
      <w:pPr>
        <w:pStyle w:val="Compact"/>
        <w:numPr>
          <w:ilvl w:val="0"/>
          <w:numId w:val="1036"/>
        </w:numPr>
      </w:pPr>
      <w:r>
        <w:rPr>
          <w:rFonts w:hint="eastAsia"/>
        </w:rPr>
        <w:t xml:space="preserve">検査基準・許容公差</w:t>
      </w:r>
    </w:p>
    <w:p>
      <w:pPr>
        <w:pStyle w:val="Compact"/>
        <w:numPr>
          <w:ilvl w:val="0"/>
          <w:numId w:val="1036"/>
        </w:numPr>
      </w:pPr>
      <w:r>
        <w:rPr>
          <w:rFonts w:hint="eastAsia"/>
        </w:rPr>
        <w:t xml:space="preserve">パッケージ・表示</w:t>
      </w:r>
    </w:p>
    <w:p>
      <w:pPr>
        <w:pStyle w:val="Compact"/>
        <w:numPr>
          <w:ilvl w:val="0"/>
          <w:numId w:val="1036"/>
        </w:numPr>
      </w:pPr>
      <w:r>
        <w:rPr>
          <w:rFonts w:hint="eastAsia"/>
        </w:rPr>
        <w:t xml:space="preserve">ブランド表示の要領</w:t>
      </w:r>
    </w:p>
    <w:p>
      <w:pPr>
        <w:pStyle w:val="Compact"/>
        <w:numPr>
          <w:ilvl w:val="0"/>
          <w:numId w:val="1036"/>
        </w:numPr>
      </w:pPr>
      <w:r>
        <w:rPr>
          <w:rFonts w:hint="eastAsia"/>
        </w:rPr>
        <w:t xml:space="preserve">取扱説明書・警告表示</w:t>
      </w:r>
    </w:p>
    <w:p>
      <w:pPr>
        <w:pStyle w:val="Compact"/>
        <w:numPr>
          <w:ilvl w:val="0"/>
          <w:numId w:val="1036"/>
        </w:numPr>
      </w:pPr>
      <w:r>
        <w:rPr>
          <w:rFonts w:hint="eastAsia"/>
        </w:rPr>
        <w:t xml:space="preserve">その他特記事項</w:t>
      </w:r>
    </w:p>
    <w:bookmarkEnd w:id="39"/>
    <w:bookmarkStart w:id="40" w:name="別紙価格表必要に応じて添付"/>
    <w:p>
      <w:pPr>
        <w:pStyle w:val="Heading2"/>
      </w:pPr>
      <w:r>
        <w:rPr>
          <w:rFonts w:hint="eastAsia"/>
        </w:rPr>
        <w:t xml:space="preserve">別紙「価格表」(必要に応じて添付)</w:t>
      </w:r>
    </w:p>
    <w:p>
      <w:pPr>
        <w:pStyle w:val="FirstParagraph"/>
      </w:pPr>
      <w:r>
        <w:rPr>
          <w:rFonts w:hint="eastAsia"/>
        </w:rPr>
        <w:t xml:space="preserve">[本製品の単価を記載]</w:t>
      </w:r>
    </w:p>
    <w:p>
      <w:pPr>
        <w:pStyle w:val="Compact"/>
        <w:numPr>
          <w:ilvl w:val="0"/>
          <w:numId w:val="1037"/>
        </w:numPr>
      </w:pPr>
      <w:r>
        <w:rPr>
          <w:rFonts w:hint="eastAsia"/>
        </w:rPr>
        <w:t xml:space="preserve">製品ごとの製造単価</w:t>
      </w:r>
    </w:p>
    <w:p>
      <w:pPr>
        <w:pStyle w:val="Compact"/>
        <w:numPr>
          <w:ilvl w:val="0"/>
          <w:numId w:val="1037"/>
        </w:numPr>
      </w:pPr>
      <w:r>
        <w:rPr>
          <w:rFonts w:hint="eastAsia"/>
        </w:rPr>
        <w:t xml:space="preserve">数量割引(該当する場合)</w:t>
      </w:r>
    </w:p>
    <w:p>
      <w:pPr>
        <w:pStyle w:val="Compact"/>
        <w:numPr>
          <w:ilvl w:val="0"/>
          <w:numId w:val="1037"/>
        </w:numPr>
      </w:pPr>
      <w:r>
        <w:rPr>
          <w:rFonts w:hint="eastAsia"/>
        </w:rPr>
        <w:t xml:space="preserve">金型費用負担の内訳</w:t>
      </w:r>
    </w:p>
    <w:p>
      <w:pPr>
        <w:pStyle w:val="Compact"/>
        <w:numPr>
          <w:ilvl w:val="0"/>
          <w:numId w:val="1037"/>
        </w:numPr>
      </w:pPr>
      <w:r>
        <w:rPr>
          <w:rFonts w:hint="eastAsia"/>
        </w:rPr>
        <w:t xml:space="preserve">単価有効期限</w:t>
      </w:r>
    </w:p>
    <w:p>
      <w:pPr>
        <w:pStyle w:val="Compact"/>
        <w:numPr>
          <w:ilvl w:val="0"/>
          <w:numId w:val="1037"/>
        </w:numPr>
      </w:pPr>
      <w:r>
        <w:rPr>
          <w:rFonts w:hint="eastAsia"/>
        </w:rPr>
        <w:t xml:space="preserve">単価改定の発動条件</w:t>
      </w:r>
    </w:p>
    <w:p>
      <w:r>
        <w:pict>
          <v:rect style="width:0;height:1.5pt" o:hralign="center" o:hrstd="t" o:hr="t"/>
        </w:pict>
      </w:r>
    </w:p>
    <w:bookmarkEnd w:id="40"/>
    <w:bookmarkStart w:id="44" w:name="印紙税について"/>
    <w:p>
      <w:pPr>
        <w:pStyle w:val="Heading2"/>
      </w:pPr>
      <w:r>
        <w:rPr>
          <w:rFonts w:hint="eastAsia"/>
        </w:rPr>
        <w:t xml:space="preserve">印紙税について</w:t>
      </w:r>
    </w:p>
    <w:p>
      <w:pPr>
        <w:pStyle w:val="FirstParagraph"/>
      </w:pPr>
      <w:r>
        <w:rPr>
          <w:rFonts w:hint="eastAsia"/>
        </w:rPr>
        <w:t xml:space="preserve">OEM契約書は、</w:t>
      </w:r>
      <w:r>
        <w:rPr>
          <w:rFonts w:hint="eastAsia"/>
          <w:b/>
          <w:bCs/>
        </w:rPr>
        <w:t xml:space="preserve">契約の性質によって印紙税の判定が異なります</w:t>
      </w:r>
      <w:r>
        <w:t xml:space="preserve">。</w:t>
      </w:r>
    </w:p>
    <w:bookmarkStart w:id="41" w:name="印紙税の判定マトリクス"/>
    <w:p>
      <w:pPr>
        <w:pStyle w:val="Heading3"/>
      </w:pPr>
      <w:r>
        <w:rPr>
          <w:rFonts w:hint="eastAsia"/>
        </w:rPr>
        <w:t xml:space="preserve">印紙税の判定マトリクス</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本基本契約(継続的取引基本契約)</w:t>
            </w:r>
          </w:p>
        </w:tc>
        <w:tc>
          <w:tcPr/>
          <w:p>
            <w:pPr>
              <w:pStyle w:val="Compact"/>
            </w:pPr>
            <w:r>
              <w:rPr>
                <w:rFonts w:hint="eastAsia"/>
              </w:rPr>
              <w:t xml:space="preserve">第7号文書</w:t>
            </w:r>
          </w:p>
        </w:tc>
        <w:tc>
          <w:tcPr/>
          <w:p>
            <w:pPr>
              <w:pStyle w:val="Compact"/>
            </w:pPr>
            <w:r>
              <w:rPr>
                <w:rFonts w:hint="eastAsia"/>
                <w:b/>
                <w:bCs/>
              </w:rPr>
              <w:t xml:space="preserve">4,000円</w:t>
            </w:r>
          </w:p>
        </w:tc>
      </w:tr>
      <w:tr>
        <w:tc>
          <w:tcPr/>
          <w:p>
            <w:pPr>
              <w:pStyle w:val="Compact"/>
            </w:pPr>
            <w:r>
              <w:rPr>
                <w:rFonts w:hint="eastAsia"/>
                <w:b/>
                <w:bCs/>
              </w:rPr>
              <w:t xml:space="preserve">個別契約・発注書(請負契約)</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bl>
    <w:bookmarkEnd w:id="41"/>
    <w:bookmarkStart w:id="42" w:name="第2号文書請負契約書の印紙税額"/>
    <w:p>
      <w:pPr>
        <w:pStyle w:val="Heading3"/>
      </w:pPr>
      <w:r>
        <w:rPr>
          <w:rFonts w:hint="eastAsia"/>
        </w:rPr>
        <w:t xml:space="preserve">第2号文書(請負契約書)の印紙税額</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w:t>
            </w:r>
          </w:p>
        </w:tc>
        <w:tc>
          <w:tcPr/>
          <w:p>
            <w:pPr>
              <w:pStyle w:val="Compact"/>
            </w:pPr>
            <w:r>
              <w:rPr>
                <w:rFonts w:hint="eastAsia"/>
              </w:rPr>
              <w:t xml:space="preserve">印紙税</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100万円以下</w:t>
            </w:r>
          </w:p>
        </w:tc>
        <w:tc>
          <w:tcPr/>
          <w:p>
            <w:pPr>
              <w:pStyle w:val="Compact"/>
            </w:pPr>
            <w:r>
              <w:rPr>
                <w:rFonts w:hint="eastAsia"/>
              </w:rPr>
              <w:t xml:space="preserve">200円</w:t>
            </w:r>
          </w:p>
        </w:tc>
      </w:tr>
      <w:tr>
        <w:tc>
          <w:tcPr/>
          <w:p>
            <w:pPr>
              <w:pStyle w:val="Compact"/>
            </w:pPr>
            <w:r>
              <w:rPr>
                <w:rFonts w:hint="eastAsia"/>
              </w:rPr>
              <w:t xml:space="preserve">500万円以下</w:t>
            </w:r>
          </w:p>
        </w:tc>
        <w:tc>
          <w:tcPr/>
          <w:p>
            <w:pPr>
              <w:pStyle w:val="Compact"/>
            </w:pPr>
            <w:r>
              <w:rPr>
                <w:rFonts w:hint="eastAsia"/>
              </w:rPr>
              <w:t xml:space="preserve">2,000円</w:t>
            </w:r>
          </w:p>
        </w:tc>
      </w:tr>
      <w:tr>
        <w:tc>
          <w:tcPr/>
          <w:p>
            <w:pPr>
              <w:pStyle w:val="Compact"/>
            </w:pPr>
            <w:r>
              <w:rPr>
                <w:rFonts w:hint="eastAsia"/>
              </w:rPr>
              <w:t xml:space="preserve">1,000万円以下</w:t>
            </w:r>
          </w:p>
        </w:tc>
        <w:tc>
          <w:tcPr/>
          <w:p>
            <w:pPr>
              <w:pStyle w:val="Compact"/>
            </w:pPr>
            <w:r>
              <w:rPr>
                <w:rFonts w:hint="eastAsia"/>
              </w:rPr>
              <w:t xml:space="preserve">10,000円</w:t>
            </w:r>
          </w:p>
        </w:tc>
      </w:tr>
      <w:tr>
        <w:tc>
          <w:tcPr/>
          <w:p>
            <w:pPr>
              <w:pStyle w:val="Compact"/>
            </w:pPr>
            <w:r>
              <w:rPr>
                <w:rFonts w:hint="eastAsia"/>
              </w:rPr>
              <w:t xml:space="preserve">5,000万円以下</w:t>
            </w:r>
          </w:p>
        </w:tc>
        <w:tc>
          <w:tcPr/>
          <w:p>
            <w:pPr>
              <w:pStyle w:val="Compact"/>
            </w:pPr>
            <w:r>
              <w:rPr>
                <w:rFonts w:hint="eastAsia"/>
              </w:rPr>
              <w:t xml:space="preserve">20,000円</w:t>
            </w:r>
          </w:p>
        </w:tc>
      </w:tr>
      <w:tr>
        <w:tc>
          <w:tcPr/>
          <w:p>
            <w:pPr>
              <w:pStyle w:val="Compact"/>
            </w:pPr>
            <w:r>
              <w:rPr>
                <w:rFonts w:hint="eastAsia"/>
              </w:rPr>
              <w:t xml:space="preserve">1億円以下</w:t>
            </w:r>
          </w:p>
        </w:tc>
        <w:tc>
          <w:tcPr/>
          <w:p>
            <w:pPr>
              <w:pStyle w:val="Compact"/>
            </w:pPr>
            <w:r>
              <w:rPr>
                <w:rFonts w:hint="eastAsia"/>
              </w:rPr>
              <w:t xml:space="preserve">60,000円</w:t>
            </w:r>
          </w:p>
        </w:tc>
      </w:tr>
      <w:tr>
        <w:tc>
          <w:tcPr/>
          <w:p>
            <w:pPr>
              <w:pStyle w:val="Compact"/>
            </w:pPr>
            <w:r>
              <w:rPr>
                <w:rFonts w:hint="eastAsia"/>
              </w:rPr>
              <w:t xml:space="preserve">5億円以下</w:t>
            </w:r>
          </w:p>
        </w:tc>
        <w:tc>
          <w:tcPr/>
          <w:p>
            <w:pPr>
              <w:pStyle w:val="Compact"/>
            </w:pPr>
            <w:r>
              <w:rPr>
                <w:rFonts w:hint="eastAsia"/>
              </w:rPr>
              <w:t xml:space="preserve">100,000円</w:t>
            </w:r>
          </w:p>
        </w:tc>
      </w:tr>
    </w:tbl>
    <w:bookmarkEnd w:id="42"/>
    <w:bookmarkStart w:id="43"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いずれの契約類型でも、電子契約サービスを利用して締結する場合は、印紙税は発生しません</w:t>
      </w:r>
      <w:r>
        <w:rPr>
          <w:rFonts w:hint="eastAsia"/>
        </w:rPr>
        <w:t xml:space="preserve">。国税庁の見解では、電子契約は印紙税法上の課税文書に該当しないとされています。</w:t>
      </w:r>
    </w:p>
    <w:p>
      <w:pPr>
        <w:pStyle w:val="Compact"/>
        <w:numPr>
          <w:ilvl w:val="0"/>
          <w:numId w:val="1038"/>
        </w:numPr>
      </w:pPr>
      <w:r>
        <w:rPr>
          <w:rFonts w:hint="eastAsia"/>
        </w:rPr>
        <w:t xml:space="preserve">基本契約(第7号文書)→</w:t>
      </w:r>
      <w:r>
        <w:t xml:space="preserve"> </w:t>
      </w:r>
      <w:r>
        <w:rPr>
          <w:rFonts w:hint="eastAsia"/>
        </w:rPr>
        <w:t xml:space="preserve">紙だと4,000円、電子なら0円</w:t>
      </w:r>
    </w:p>
    <w:p>
      <w:pPr>
        <w:pStyle w:val="Compact"/>
        <w:numPr>
          <w:ilvl w:val="0"/>
          <w:numId w:val="1038"/>
        </w:numPr>
      </w:pPr>
      <w:r>
        <w:rPr>
          <w:rFonts w:hint="eastAsia"/>
        </w:rPr>
        <w:t xml:space="preserve">個別発注書(第2号文書)→</w:t>
      </w:r>
      <w:r>
        <w:t xml:space="preserve"> </w:t>
      </w:r>
      <w:r>
        <w:rPr>
          <w:rFonts w:hint="eastAsia"/>
        </w:rPr>
        <w:t xml:space="preserve">紙だと数百円〜数十万円、電子なら0円</w:t>
      </w:r>
    </w:p>
    <w:p>
      <w:pPr>
        <w:pStyle w:val="FirstParagraph"/>
      </w:pPr>
      <w:r>
        <w:rPr>
          <w:rFonts w:hint="eastAsia"/>
        </w:rPr>
        <w:t xml:space="preserve">OEM取引は契約金額が大きく・件数も多いため、電子契約による節税効果が特に大きい契約類型です。</w:t>
      </w:r>
    </w:p>
    <w:p>
      <w:pPr>
        <w:pStyle w:val="BodyText"/>
      </w:pPr>
      <w:r>
        <w:rPr>
          <w:rFonts w:hint="eastAsia"/>
        </w:rPr>
        <w:t xml:space="preserve">(具体的な税務判断は税理士にご相談ください。)</w:t>
      </w:r>
    </w:p>
    <w:p>
      <w:r>
        <w:pict>
          <v:rect style="width:0;height:1.5pt" o:hralign="center" o:hrstd="t" o:hr="t"/>
        </w:pict>
      </w:r>
    </w:p>
    <w:bookmarkEnd w:id="43"/>
    <w:bookmarkEnd w:id="44"/>
    <w:bookmarkStart w:id="45"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本契約は、電子署名法に基づく電子契約サービスでの締結が可能です。OEM契約特有のメリット:</w:t>
      </w:r>
    </w:p>
    <w:p>
      <w:pPr>
        <w:pStyle w:val="Compact"/>
        <w:numPr>
          <w:ilvl w:val="0"/>
          <w:numId w:val="1039"/>
        </w:numPr>
      </w:pPr>
      <w:r>
        <w:rPr>
          <w:rFonts w:hint="eastAsia"/>
          <w:b/>
          <w:bCs/>
        </w:rPr>
        <w:t xml:space="preserve">基本契約+個別発注書を一気通貫で電子化</w:t>
      </w:r>
      <w:r>
        <w:rPr>
          <w:rFonts w:hint="eastAsia"/>
        </w:rPr>
        <w:t xml:space="preserve">(取適法対応にも有効)</w:t>
      </w:r>
    </w:p>
    <w:p>
      <w:pPr>
        <w:pStyle w:val="Compact"/>
        <w:numPr>
          <w:ilvl w:val="0"/>
          <w:numId w:val="1039"/>
        </w:numPr>
      </w:pPr>
      <w:r>
        <w:rPr>
          <w:rFonts w:hint="eastAsia"/>
          <w:b/>
          <w:bCs/>
        </w:rPr>
        <w:t xml:space="preserve">印紙税ゼロ</w:t>
      </w:r>
      <w:r>
        <w:rPr>
          <w:rFonts w:hint="eastAsia"/>
        </w:rPr>
        <w:t xml:space="preserve">(基本契約4,000円・個別発注書数千〜数十万円の節税)</w:t>
      </w:r>
    </w:p>
    <w:p>
      <w:pPr>
        <w:pStyle w:val="Compact"/>
        <w:numPr>
          <w:ilvl w:val="0"/>
          <w:numId w:val="1039"/>
        </w:numPr>
      </w:pPr>
      <w:r>
        <w:rPr>
          <w:rFonts w:hint="eastAsia"/>
          <w:b/>
          <w:bCs/>
        </w:rPr>
        <w:t xml:space="preserve">印刷・郵送・押印の手間が不要</w:t>
      </w:r>
    </w:p>
    <w:p>
      <w:pPr>
        <w:pStyle w:val="Compact"/>
        <w:numPr>
          <w:ilvl w:val="0"/>
          <w:numId w:val="1039"/>
        </w:numPr>
      </w:pPr>
      <w:r>
        <w:rPr>
          <w:rFonts w:hint="eastAsia"/>
          <w:b/>
          <w:bCs/>
        </w:rPr>
        <w:t xml:space="preserve">締結スピードが最短数時間</w:t>
      </w:r>
      <w:r>
        <w:rPr>
          <w:rFonts w:hint="eastAsia"/>
        </w:rPr>
        <w:t xml:space="preserve">に短縮</w:t>
      </w:r>
    </w:p>
    <w:p>
      <w:pPr>
        <w:pStyle w:val="Compact"/>
        <w:numPr>
          <w:ilvl w:val="0"/>
          <w:numId w:val="1039"/>
        </w:numPr>
      </w:pPr>
      <w:r>
        <w:rPr>
          <w:rFonts w:hint="eastAsia"/>
          <w:b/>
          <w:bCs/>
        </w:rPr>
        <w:t xml:space="preserve">改ざん検知</w:t>
      </w:r>
      <w:r>
        <w:rPr>
          <w:rFonts w:hint="eastAsia"/>
        </w:rPr>
        <w:t xml:space="preserve">(タイムスタンプ・電子署名)</w:t>
      </w:r>
    </w:p>
    <w:p>
      <w:pPr>
        <w:pStyle w:val="Compact"/>
        <w:numPr>
          <w:ilvl w:val="0"/>
          <w:numId w:val="1039"/>
        </w:numPr>
      </w:pPr>
      <w:r>
        <w:rPr>
          <w:rFonts w:hint="eastAsia"/>
          <w:b/>
          <w:bCs/>
        </w:rPr>
        <w:t xml:space="preserve">電子帳簿保存法の保存要件</w:t>
      </w:r>
      <w:r>
        <w:rPr>
          <w:rFonts w:hint="eastAsia"/>
        </w:rPr>
        <w:t xml:space="preserve">に自動対応</w:t>
      </w:r>
    </w:p>
    <w:p>
      <w:pPr>
        <w:pStyle w:val="Compact"/>
        <w:numPr>
          <w:ilvl w:val="0"/>
          <w:numId w:val="1039"/>
        </w:numPr>
      </w:pPr>
      <w:r>
        <w:rPr>
          <w:rFonts w:hint="eastAsia"/>
          <w:b/>
          <w:bCs/>
        </w:rPr>
        <w:t xml:space="preserve">取引履歴の一元管理</w:t>
      </w:r>
      <w:r>
        <w:rPr>
          <w:rFonts w:hint="eastAsia"/>
        </w:rPr>
        <w:t xml:space="preserve">(発注書・検収書等の検索性)</w:t>
      </w:r>
    </w:p>
    <w:p>
      <w:pPr>
        <w:pStyle w:val="Compact"/>
        <w:numPr>
          <w:ilvl w:val="0"/>
          <w:numId w:val="1039"/>
        </w:numPr>
      </w:pPr>
      <w:r>
        <w:rPr>
          <w:rFonts w:hint="eastAsia"/>
          <w:b/>
          <w:bCs/>
        </w:rPr>
        <w:t xml:space="preserve">海外サプライヤーとも時差を超えて即時締結</w:t>
      </w:r>
    </w:p>
    <w:p>
      <w:r>
        <w:pict>
          <v:rect style="width:0;height:1.5pt" o:hralign="center" o:hrstd="t" o:hr="t"/>
        </w:pict>
      </w:r>
    </w:p>
    <w:bookmarkEnd w:id="45"/>
    <w:bookmarkStart w:id="52"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※本テンプレートは弁護士監修ですが、個別案件に応じた修正が必要です。重要な契約は弁護士にご相談ください。</w:t>
      </w:r>
    </w:p>
    <w:bookmarkStart w:id="46" w:name="契約類型に応じた選択修正"/>
    <w:p>
      <w:pPr>
        <w:pStyle w:val="Heading3"/>
      </w:pPr>
      <w:r>
        <w:rPr>
          <w:rFonts w:hint="eastAsia"/>
        </w:rPr>
        <w:t xml:space="preserve">契約類型に応じた選択・修正</w:t>
      </w:r>
    </w:p>
    <w:p>
      <w:pPr>
        <w:pStyle w:val="Compact"/>
        <w:numPr>
          <w:ilvl w:val="0"/>
          <w:numId w:val="1040"/>
        </w:numPr>
      </w:pPr>
      <w:r>
        <w:rPr>
          <w:rFonts w:hint="eastAsia"/>
        </w:rPr>
        <w:t xml:space="preserve">本テンプレートは</w:t>
      </w:r>
      <w:r>
        <w:rPr>
          <w:rFonts w:hint="eastAsia"/>
          <w:b/>
          <w:bCs/>
        </w:rPr>
        <w:t xml:space="preserve">OEM契約(委託者が仕様提供)</w:t>
      </w:r>
      <w:r>
        <w:rPr>
          <w:rFonts w:hint="eastAsia"/>
        </w:rPr>
        <w:t xml:space="preserve">を想定しています。</w:t>
      </w:r>
      <w:r>
        <w:rPr>
          <w:rFonts w:hint="eastAsia"/>
          <w:b/>
          <w:bCs/>
        </w:rPr>
        <w:t xml:space="preserve">ODM契約(受託者が設計)</w:t>
      </w:r>
      <w:r>
        <w:rPr>
          <w:rFonts w:hint="eastAsia"/>
        </w:rPr>
        <w:t xml:space="preserve">の場合は、知的財産権・改良技術の取扱い等を大きく修正する必要があります。</w:t>
      </w:r>
    </w:p>
    <w:p>
      <w:pPr>
        <w:pStyle w:val="Compact"/>
        <w:numPr>
          <w:ilvl w:val="0"/>
          <w:numId w:val="1040"/>
        </w:numPr>
      </w:pPr>
      <w:r>
        <w:rPr>
          <w:rFonts w:hint="eastAsia"/>
        </w:rPr>
        <w:t xml:space="preserve">第10条(金型・治具)は、</w:t>
      </w:r>
      <w:r>
        <w:rPr>
          <w:rFonts w:hint="eastAsia"/>
          <w:b/>
          <w:bCs/>
        </w:rPr>
        <w:t xml:space="preserve">4パターンから選択</w:t>
      </w:r>
      <w:r>
        <w:rPr>
          <w:rFonts w:hint="eastAsia"/>
        </w:rPr>
        <w:t xml:space="preserve">して規定してください。費用負担と所有権はセットで整理することが必須です。</w:t>
      </w:r>
    </w:p>
    <w:bookmarkEnd w:id="46"/>
    <w:bookmarkStart w:id="47" w:name="取適法2026年1月施行対応"/>
    <w:p>
      <w:pPr>
        <w:pStyle w:val="Heading3"/>
      </w:pPr>
      <w:r>
        <w:rPr>
          <w:rFonts w:hint="eastAsia"/>
        </w:rPr>
        <w:t xml:space="preserve">取適法(2026年1月施行)対応</w:t>
      </w:r>
    </w:p>
    <w:p>
      <w:pPr>
        <w:pStyle w:val="Compact"/>
        <w:numPr>
          <w:ilvl w:val="0"/>
          <w:numId w:val="1041"/>
        </w:numPr>
      </w:pPr>
      <w:r>
        <w:rPr>
          <w:rFonts w:hint="eastAsia"/>
        </w:rPr>
        <w:t xml:space="preserve">本契約(基本契約)とは別に、</w:t>
      </w:r>
      <w:r>
        <w:rPr>
          <w:rFonts w:hint="eastAsia"/>
          <w:b/>
          <w:bCs/>
        </w:rPr>
        <w:t xml:space="preserve">個別発注書(個別契約)で取適法上の12項目を明示</w:t>
      </w:r>
      <w:r>
        <w:rPr>
          <w:rFonts w:hint="eastAsia"/>
        </w:rPr>
        <w:t xml:space="preserve">する必要があります(中小受託事業者が相手方の場合)。</w:t>
      </w:r>
    </w:p>
    <w:p>
      <w:pPr>
        <w:pStyle w:val="Compact"/>
        <w:numPr>
          <w:ilvl w:val="0"/>
          <w:numId w:val="1041"/>
        </w:numPr>
      </w:pPr>
      <w:r>
        <w:rPr>
          <w:rFonts w:hint="eastAsia"/>
        </w:rPr>
        <w:t xml:space="preserve">個別発注書は、書面又は電磁的方法で交付してください。</w:t>
      </w:r>
    </w:p>
    <w:p>
      <w:pPr>
        <w:pStyle w:val="Compact"/>
        <w:numPr>
          <w:ilvl w:val="0"/>
          <w:numId w:val="1041"/>
        </w:numPr>
      </w:pPr>
      <w:r>
        <w:rPr>
          <w:rFonts w:hint="eastAsia"/>
        </w:rPr>
        <w:t xml:space="preserve">支払期日は</w:t>
      </w:r>
      <w:r>
        <w:rPr>
          <w:rFonts w:hint="eastAsia"/>
          <w:b/>
          <w:bCs/>
        </w:rPr>
        <w:t xml:space="preserve">検収後60日以内</w:t>
      </w:r>
      <w:r>
        <w:rPr>
          <w:rFonts w:hint="eastAsia"/>
        </w:rPr>
        <w:t xml:space="preserve">に設定してください。</w:t>
      </w:r>
    </w:p>
    <w:p>
      <w:pPr>
        <w:pStyle w:val="Compact"/>
        <w:numPr>
          <w:ilvl w:val="0"/>
          <w:numId w:val="1041"/>
        </w:numPr>
      </w:pPr>
      <w:r>
        <w:rPr>
          <w:rFonts w:hint="eastAsia"/>
        </w:rPr>
        <w:t xml:space="preserve">一方的な単価決定・手形払い等の禁止事項に注意してください。</w:t>
      </w:r>
    </w:p>
    <w:bookmarkEnd w:id="47"/>
    <w:bookmarkStart w:id="48" w:name="pl責任に関する注意"/>
    <w:p>
      <w:pPr>
        <w:pStyle w:val="Heading3"/>
      </w:pPr>
      <w:r>
        <w:rPr>
          <w:rFonts w:hint="eastAsia"/>
        </w:rPr>
        <w:t xml:space="preserve">PL責任に関する注意</w:t>
      </w:r>
    </w:p>
    <w:p>
      <w:pPr>
        <w:pStyle w:val="Compact"/>
        <w:numPr>
          <w:ilvl w:val="0"/>
          <w:numId w:val="1042"/>
        </w:numPr>
      </w:pPr>
      <w:r>
        <w:rPr>
          <w:rFonts w:hint="eastAsia"/>
        </w:rPr>
        <w:t xml:space="preserve">第13条のPL責任分担は、業界・製品の性質によって調整が必要です。</w:t>
      </w:r>
    </w:p>
    <w:p>
      <w:pPr>
        <w:pStyle w:val="Compact"/>
        <w:numPr>
          <w:ilvl w:val="0"/>
          <w:numId w:val="1042"/>
        </w:numPr>
      </w:pPr>
      <w:r>
        <w:rPr>
          <w:rFonts w:hint="eastAsia"/>
        </w:rPr>
        <w:t xml:space="preserve">乙(製造業者)は、必ず</w:t>
      </w:r>
      <w:r>
        <w:rPr>
          <w:rFonts w:hint="eastAsia"/>
          <w:b/>
          <w:bCs/>
        </w:rPr>
        <w:t xml:space="preserve">生産物賠償責任保険(PL保険)</w:t>
      </w:r>
      <w:r>
        <w:rPr>
          <w:rFonts w:hint="eastAsia"/>
        </w:rPr>
        <w:t xml:space="preserve">に加入し、保険証券の写しを甲に開示することをおすすめします。</w:t>
      </w:r>
    </w:p>
    <w:p>
      <w:pPr>
        <w:pStyle w:val="Compact"/>
        <w:numPr>
          <w:ilvl w:val="0"/>
          <w:numId w:val="1042"/>
        </w:numPr>
      </w:pPr>
      <w:r>
        <w:rPr>
          <w:rFonts w:hint="eastAsia"/>
        </w:rPr>
        <w:t xml:space="preserve">重大な人身事故が発生する可能性のある製品(医療機器・自動車部品・食品等)では、賠償上限の例外規定(第21条第2項)を慎重に設計してください。</w:t>
      </w:r>
    </w:p>
    <w:bookmarkEnd w:id="48"/>
    <w:bookmarkStart w:id="49" w:name="業界特有の追加条項"/>
    <w:p>
      <w:pPr>
        <w:pStyle w:val="Heading3"/>
      </w:pPr>
      <w:r>
        <w:rPr>
          <w:rFonts w:hint="eastAsia"/>
        </w:rPr>
        <w:t xml:space="preserve">業界特有の追加条項</w:t>
      </w:r>
    </w:p>
    <w:p>
      <w:pPr>
        <w:pStyle w:val="Compact"/>
        <w:numPr>
          <w:ilvl w:val="0"/>
          <w:numId w:val="1043"/>
        </w:numPr>
      </w:pPr>
      <w:r>
        <w:rPr>
          <w:rFonts w:hint="eastAsia"/>
        </w:rPr>
        <w:t xml:space="preserve">食品・化粧品・医薬部外品:</w:t>
      </w:r>
      <w:r>
        <w:rPr>
          <w:rFonts w:hint="eastAsia"/>
          <w:b/>
          <w:bCs/>
        </w:rPr>
        <w:t xml:space="preserve">製造業の許可番号・GMP対応</w:t>
      </w:r>
      <w:r>
        <w:rPr>
          <w:rFonts w:hint="eastAsia"/>
        </w:rPr>
        <w:t xml:space="preserve">等の表明保証</w:t>
      </w:r>
    </w:p>
    <w:p>
      <w:pPr>
        <w:pStyle w:val="Compact"/>
        <w:numPr>
          <w:ilvl w:val="0"/>
          <w:numId w:val="1043"/>
        </w:numPr>
      </w:pPr>
      <w:r>
        <w:rPr>
          <w:rFonts w:hint="eastAsia"/>
        </w:rPr>
        <w:t xml:space="preserve">自動車部品:</w:t>
      </w:r>
      <w:r>
        <w:rPr>
          <w:rFonts w:hint="eastAsia"/>
          <w:b/>
          <w:bCs/>
        </w:rPr>
        <w:t xml:space="preserve">IATF16949等の品質マネジメント規格対応</w:t>
      </w:r>
    </w:p>
    <w:p>
      <w:pPr>
        <w:pStyle w:val="Compact"/>
        <w:numPr>
          <w:ilvl w:val="0"/>
          <w:numId w:val="1043"/>
        </w:numPr>
      </w:pPr>
      <w:r>
        <w:rPr>
          <w:rFonts w:hint="eastAsia"/>
        </w:rPr>
        <w:t xml:space="preserve">医療機器:</w:t>
      </w:r>
      <w:r>
        <w:rPr>
          <w:rFonts w:hint="eastAsia"/>
          <w:b/>
          <w:bCs/>
        </w:rPr>
        <w:t xml:space="preserve">薬機法・QMS省令対応</w:t>
      </w:r>
    </w:p>
    <w:p>
      <w:pPr>
        <w:pStyle w:val="Compact"/>
        <w:numPr>
          <w:ilvl w:val="0"/>
          <w:numId w:val="1043"/>
        </w:numPr>
      </w:pPr>
      <w:r>
        <w:rPr>
          <w:rFonts w:hint="eastAsia"/>
        </w:rPr>
        <w:t xml:space="preserve">海外OEM:</w:t>
      </w:r>
      <w:r>
        <w:rPr>
          <w:rFonts w:hint="eastAsia"/>
          <w:b/>
          <w:bCs/>
        </w:rPr>
        <w:t xml:space="preserve">輸出入手続・関税負担・通関責任・準拠法</w:t>
      </w:r>
    </w:p>
    <w:bookmarkEnd w:id="49"/>
    <w:bookmarkStart w:id="50" w:name="編集時の注意"/>
    <w:p>
      <w:pPr>
        <w:pStyle w:val="Heading3"/>
      </w:pPr>
      <w:r>
        <w:rPr>
          <w:rFonts w:hint="eastAsia"/>
        </w:rPr>
        <w:t xml:space="preserve">編集時の注意</w:t>
      </w:r>
    </w:p>
    <w:p>
      <w:pPr>
        <w:pStyle w:val="Compact"/>
        <w:numPr>
          <w:ilvl w:val="0"/>
          <w:numId w:val="1044"/>
        </w:numPr>
      </w:pPr>
      <w:r>
        <w:t xml:space="preserve">[ </w:t>
      </w:r>
      <w:r>
        <w:rPr>
          <w:rFonts w:hint="eastAsia"/>
        </w:rPr>
        <w:t xml:space="preserve">]括弧内の箇所は、自社の状況に応じて編集してください。</w:t>
      </w:r>
    </w:p>
    <w:p>
      <w:pPr>
        <w:pStyle w:val="Compact"/>
        <w:numPr>
          <w:ilvl w:val="0"/>
          <w:numId w:val="1044"/>
        </w:numPr>
      </w:pPr>
      <w:r>
        <w:rPr>
          <w:rFonts w:hint="eastAsia"/>
        </w:rPr>
        <w:t xml:space="preserve">個人情報を取り扱わない場合は、第17条を削除しても問題ありません。</w:t>
      </w:r>
    </w:p>
    <w:p>
      <w:pPr>
        <w:pStyle w:val="Compact"/>
        <w:numPr>
          <w:ilvl w:val="0"/>
          <w:numId w:val="1044"/>
        </w:numPr>
      </w:pPr>
      <w:r>
        <w:rPr>
          <w:rFonts w:hint="eastAsia"/>
        </w:rPr>
        <w:t xml:space="preserve">別紙「製品仕様書」「価格表」は必ず作成し、契約書末尾に添付してください。</w:t>
      </w:r>
    </w:p>
    <w:bookmarkEnd w:id="50"/>
    <w:bookmarkStart w:id="51" w:name="海外取引の場合"/>
    <w:p>
      <w:pPr>
        <w:pStyle w:val="Heading3"/>
      </w:pPr>
      <w:r>
        <w:rPr>
          <w:rFonts w:hint="eastAsia"/>
        </w:rPr>
        <w:t xml:space="preserve">海外取引の場合</w:t>
      </w:r>
    </w:p>
    <w:p>
      <w:pPr>
        <w:pStyle w:val="Compact"/>
        <w:numPr>
          <w:ilvl w:val="0"/>
          <w:numId w:val="1045"/>
        </w:numPr>
      </w:pPr>
      <w:r>
        <w:rPr>
          <w:rFonts w:hint="eastAsia"/>
        </w:rPr>
        <w:t xml:space="preserve">準拠法・裁判管轄(又は仲裁)について、必ず弁護士のレビューを受けてください。</w:t>
      </w:r>
    </w:p>
    <w:p>
      <w:pPr>
        <w:pStyle w:val="Compact"/>
        <w:numPr>
          <w:ilvl w:val="0"/>
          <w:numId w:val="1045"/>
        </w:numPr>
      </w:pPr>
      <w:r>
        <w:rPr>
          <w:rFonts w:hint="eastAsia"/>
        </w:rPr>
        <w:t xml:space="preserve">ウィーン売買条約(CISG)の適用排除を明示するか検討してください。</w:t>
      </w:r>
    </w:p>
    <w:p>
      <w:pPr>
        <w:pStyle w:val="Compact"/>
        <w:numPr>
          <w:ilvl w:val="0"/>
          <w:numId w:val="1045"/>
        </w:numPr>
      </w:pPr>
      <w:r>
        <w:rPr>
          <w:rFonts w:hint="eastAsia"/>
        </w:rPr>
        <w:t xml:space="preserve">関税・通関・輸出入規制(輸出管理令等)への対応も忘れずに。</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製造業特有の事案・規制対応については、必ず弁護士・税理士・業界専門家にご相談ください。</w:t>
      </w:r>
    </w:p>
    <w:bookmarkEnd w:id="51"/>
    <w:bookmarkEnd w:id="52"/>
    <w:bookmarkEnd w:id="5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2026-06-04T12:18:31Z</dcterms:created>
  <dcterms:modified xsi:type="dcterms:W3CDTF">2026-06-04T12:18:31Z</dcterms:modified>
</cp:coreProperties>
</file>

<file path=docProps/custom.xml><?xml version="1.0" encoding="utf-8"?>
<Properties xmlns="http://schemas.openxmlformats.org/officeDocument/2006/custom-properties" xmlns:vt="http://schemas.openxmlformats.org/officeDocument/2006/docPropsVTypes"/>
</file>