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退職金規程(社内規程)</w:t>
      </w:r>
      <w:r>
        <w:rPr>
          <w:rFonts w:hint="eastAsia"/>
        </w:rPr>
        <w:t xml:space="preserve">を主構成としています。</w:t>
      </w:r>
      <w:r>
        <w:rPr>
          <w:rFonts w:hint="eastAsia"/>
          <w:b/>
          <w:bCs/>
        </w:rPr>
        <w:t xml:space="preserve">基本給連動型/ポイント制/別表方式の3類型に対応</w:t>
      </w:r>
      <w:r>
        <w:t xml:space="preserve">し、</w:t>
      </w:r>
      <w:r>
        <w:rPr>
          <w:rFonts w:hint="eastAsia"/>
          <w:b/>
          <w:bCs/>
        </w:rPr>
        <w:t xml:space="preserve">中小企業退職金共済(中退共)併用条項</w:t>
      </w:r>
      <w:r>
        <w:rPr>
          <w:rFonts w:hint="eastAsia"/>
        </w:rPr>
        <w:t xml:space="preserve">も装備しています。</w:t>
      </w:r>
      <w:r>
        <w:rPr>
          <w:rFonts w:hint="eastAsia"/>
          <w:b/>
          <w:bCs/>
        </w:rPr>
        <w:t xml:space="preserve">常時10人以上の労働者を使用する事業場</w:t>
      </w:r>
      <w:r>
        <w:rPr>
          <w:rFonts w:hint="eastAsia"/>
        </w:rPr>
        <w:t xml:space="preserve">で本規程を導入する場合、</w:t>
      </w:r>
      <w:r>
        <w:rPr>
          <w:rFonts w:hint="eastAsia"/>
          <w:b/>
          <w:bCs/>
        </w:rPr>
        <w:t xml:space="preserve">労働基準法第89条第3号の2</w:t>
      </w:r>
      <w:r>
        <w:rPr>
          <w:rFonts w:hint="eastAsia"/>
        </w:rPr>
        <w:t xml:space="preserve">に基づき就業規則の一部として労働基準監督署への届出が必要です(過半数労働者の意見書(同第90条)・全従業員への周知(同第106条)も必須)。</w:t>
      </w:r>
      <w:r>
        <w:rPr>
          <w:rFonts w:hint="eastAsia"/>
          <w:b/>
          <w:bCs/>
        </w:rPr>
        <w:t xml:space="preserve">退職金規程は不利益変更が困難</w:t>
      </w:r>
      <w:r>
        <w:rPr>
          <w:rFonts w:hint="eastAsia"/>
        </w:rPr>
        <w:t xml:space="preserve">(労働契約法第9条・第10条)なため、導入時には将来の柔軟性も考慮して慎重に設計してください。</w:t>
      </w:r>
      <w:r>
        <w:rPr>
          <w:rFonts w:hint="eastAsia"/>
          <w:b/>
          <w:bCs/>
        </w:rPr>
        <w:t xml:space="preserve">最高裁H12.3.9三晃社事件等</w:t>
      </w:r>
      <w:r>
        <w:rPr>
          <w:rFonts w:hint="eastAsia"/>
        </w:rPr>
        <w:t xml:space="preserve">の判例により、不支給・減額条項は「長年の勤続の功労を抹消するに値する重大な背信行為」が必要とされます。</w:t>
      </w:r>
      <w:r>
        <w:rPr>
          <w:rFonts w:hint="eastAsia"/>
          <w:b/>
          <w:bCs/>
        </w:rPr>
        <w:t xml:space="preserve">退職金規程は印紙税法上の課税文書に該当しません</w:t>
      </w:r>
      <w:r>
        <w:rPr>
          <w:rFonts w:hint="eastAsia"/>
        </w:rPr>
        <w:t xml:space="preserve">(不課税)。</w:t>
      </w:r>
    </w:p>
    <w:p>
      <w:r>
        <w:pict>
          <v:rect style="width:0;height:1.5pt" o:hralign="center" o:hrstd="t" o:hr="t"/>
        </w:pict>
      </w:r>
    </w:p>
    <w:bookmarkStart w:id="40" w:name="退職金規程"/>
    <w:p>
      <w:pPr>
        <w:pStyle w:val="Heading1"/>
      </w:pPr>
      <w:r>
        <w:rPr>
          <w:rFonts w:hint="eastAsia"/>
        </w:rPr>
        <w:t xml:space="preserve">退職金規程</w:t>
      </w:r>
    </w:p>
    <w:bookmarkStart w:id="13" w:name="第1章-総則"/>
    <w:p>
      <w:pPr>
        <w:pStyle w:val="Heading2"/>
      </w:pPr>
      <w:r>
        <w:rPr>
          <w:rFonts w:hint="eastAsia"/>
        </w:rPr>
        <w:t xml:space="preserve">第1章</w:t>
      </w:r>
      <w:r>
        <w:t xml:space="preserve"> </w:t>
      </w:r>
      <w:r>
        <w:rPr>
          <w:rFonts w:hint="eastAsia"/>
        </w:rPr>
        <w:t xml:space="preserve">総則</w:t>
      </w:r>
    </w:p>
    <w:bookmarkStart w:id="10" w:name="第1条目的"/>
    <w:p>
      <w:pPr>
        <w:pStyle w:val="Heading3"/>
      </w:pPr>
      <w:r>
        <w:rPr>
          <w:rFonts w:hint="eastAsia"/>
        </w:rPr>
        <w:t xml:space="preserve">第1条(目的)</w:t>
      </w:r>
    </w:p>
    <w:p>
      <w:pPr>
        <w:pStyle w:val="FirstParagraph"/>
      </w:pPr>
      <w:r>
        <w:rPr>
          <w:rFonts w:hint="eastAsia"/>
        </w:rPr>
        <w:t xml:space="preserve">本規程は、</w:t>
      </w:r>
      <w:hyperlink r:id="rId9">
        <w:r>
          <w:rPr>
            <w:rStyle w:val="Hyperlink"/>
            <w:rFonts w:hint="eastAsia"/>
          </w:rPr>
          <w:t xml:space="preserve">会社の正式名称</w:t>
        </w:r>
      </w:hyperlink>
      <w:r>
        <w:rPr>
          <w:rFonts w:hint="eastAsia"/>
        </w:rPr>
        <w:t xml:space="preserve">の従業員の退職金に関する取扱いを定めることを目的とする。</w:t>
      </w:r>
    </w:p>
    <w:bookmarkEnd w:id="10"/>
    <w:bookmarkStart w:id="11" w:name="第2条適用対象者"/>
    <w:p>
      <w:pPr>
        <w:pStyle w:val="Heading3"/>
      </w:pPr>
      <w:r>
        <w:rPr>
          <w:rFonts w:hint="eastAsia"/>
        </w:rPr>
        <w:t xml:space="preserve">第2条(適用対象者)</w:t>
      </w:r>
    </w:p>
    <w:p>
      <w:pPr>
        <w:pStyle w:val="Compact"/>
        <w:numPr>
          <w:ilvl w:val="0"/>
          <w:numId w:val="1001"/>
        </w:numPr>
      </w:pPr>
      <w:r>
        <w:rPr>
          <w:rFonts w:hint="eastAsia"/>
        </w:rPr>
        <w:t xml:space="preserve">本規程は、会社の</w:t>
      </w:r>
      <w:r>
        <w:rPr>
          <w:rFonts w:hint="eastAsia"/>
          <w:b/>
          <w:bCs/>
        </w:rPr>
        <w:t xml:space="preserve">正社員</w:t>
      </w:r>
      <w:r>
        <w:rPr>
          <w:rFonts w:hint="eastAsia"/>
        </w:rPr>
        <w:t xml:space="preserve">(就業規則第○条に定める正社員をいう。以下同じ。)に対して適用する。</w:t>
      </w:r>
    </w:p>
    <w:p>
      <w:pPr>
        <w:pStyle w:val="Compact"/>
        <w:numPr>
          <w:ilvl w:val="0"/>
          <w:numId w:val="1001"/>
        </w:numPr>
      </w:pPr>
      <w:r>
        <w:rPr>
          <w:rFonts w:hint="eastAsia"/>
        </w:rPr>
        <w:t xml:space="preserve">次の各号に該当する者には、本規程を適用しない。</w:t>
      </w:r>
    </w:p>
    <w:p>
      <w:pPr>
        <w:pStyle w:val="Compact"/>
        <w:numPr>
          <w:ilvl w:val="0"/>
          <w:numId w:val="1002"/>
        </w:numPr>
      </w:pPr>
      <w:r>
        <w:rPr>
          <w:rFonts w:hint="eastAsia"/>
        </w:rPr>
        <w:t xml:space="preserve">契約社員(就業規則第○条に定める者)</w:t>
      </w:r>
    </w:p>
    <w:p>
      <w:pPr>
        <w:pStyle w:val="Compact"/>
        <w:numPr>
          <w:ilvl w:val="0"/>
          <w:numId w:val="1002"/>
        </w:numPr>
      </w:pPr>
      <w:r>
        <w:t xml:space="preserve">パートタイマー・アルバイト</w:t>
      </w:r>
    </w:p>
    <w:p>
      <w:pPr>
        <w:pStyle w:val="Compact"/>
        <w:numPr>
          <w:ilvl w:val="0"/>
          <w:numId w:val="1002"/>
        </w:numPr>
      </w:pPr>
      <w:r>
        <w:rPr>
          <w:rFonts w:hint="eastAsia"/>
        </w:rPr>
        <w:t xml:space="preserve">嘱託社員(就業規則第○条に定める者)</w:t>
      </w:r>
    </w:p>
    <w:p>
      <w:pPr>
        <w:pStyle w:val="Compact"/>
        <w:numPr>
          <w:ilvl w:val="0"/>
          <w:numId w:val="1002"/>
        </w:numPr>
      </w:pPr>
      <w:r>
        <w:rPr>
          <w:rFonts w:hint="eastAsia"/>
        </w:rPr>
        <w:t xml:space="preserve">その他、本規程の適用対象から除外する者として会社が定めた者</w:t>
      </w:r>
    </w:p>
    <w:p>
      <w:pPr>
        <w:pStyle w:val="Compact"/>
        <w:numPr>
          <w:ilvl w:val="0"/>
          <w:numId w:val="1003"/>
        </w:numPr>
      </w:pPr>
      <w:r>
        <w:rPr>
          <w:rFonts w:hint="eastAsia"/>
        </w:rPr>
        <w:t xml:space="preserve">前項にかかわらず、契約社員・嘱託社員その他の労働者についても、本規程の一部または全部を適用することが本規程または個別合意で定められた場合は、その定めに従う。</w:t>
      </w:r>
    </w:p>
    <w:bookmarkEnd w:id="11"/>
    <w:bookmarkStart w:id="12" w:name="第3条退職金の支給要件"/>
    <w:p>
      <w:pPr>
        <w:pStyle w:val="Heading3"/>
      </w:pPr>
      <w:r>
        <w:rPr>
          <w:rFonts w:hint="eastAsia"/>
        </w:rPr>
        <w:t xml:space="preserve">第3条(退職金の支給要件)</w:t>
      </w:r>
    </w:p>
    <w:p>
      <w:pPr>
        <w:pStyle w:val="Compact"/>
        <w:numPr>
          <w:ilvl w:val="0"/>
          <w:numId w:val="1004"/>
        </w:numPr>
      </w:pPr>
      <w:r>
        <w:rPr>
          <w:rFonts w:hint="eastAsia"/>
        </w:rPr>
        <w:t xml:space="preserve">会社は、従業員が次の各号のいずれかの事由により退職したとき、本規程に定めるところにより退職金を支給する。</w:t>
      </w:r>
    </w:p>
    <w:p>
      <w:pPr>
        <w:pStyle w:val="Compact"/>
        <w:numPr>
          <w:ilvl w:val="0"/>
          <w:numId w:val="1005"/>
        </w:numPr>
      </w:pPr>
      <w:r>
        <w:rPr>
          <w:rFonts w:hint="eastAsia"/>
        </w:rPr>
        <w:t xml:space="preserve">定年退職</w:t>
      </w:r>
    </w:p>
    <w:p>
      <w:pPr>
        <w:pStyle w:val="Compact"/>
        <w:numPr>
          <w:ilvl w:val="0"/>
          <w:numId w:val="1005"/>
        </w:numPr>
      </w:pPr>
      <w:r>
        <w:rPr>
          <w:rFonts w:hint="eastAsia"/>
        </w:rPr>
        <w:t xml:space="preserve">会社都合退職(会社の事業上の都合による解雇・希望退職への応募等)</w:t>
      </w:r>
    </w:p>
    <w:p>
      <w:pPr>
        <w:pStyle w:val="Compact"/>
        <w:numPr>
          <w:ilvl w:val="0"/>
          <w:numId w:val="1005"/>
        </w:numPr>
      </w:pPr>
      <w:r>
        <w:rPr>
          <w:rFonts w:hint="eastAsia"/>
        </w:rPr>
        <w:t xml:space="preserve">自己都合退職</w:t>
      </w:r>
    </w:p>
    <w:p>
      <w:pPr>
        <w:pStyle w:val="Compact"/>
        <w:numPr>
          <w:ilvl w:val="0"/>
          <w:numId w:val="1005"/>
        </w:numPr>
      </w:pPr>
      <w:r>
        <w:rPr>
          <w:rFonts w:hint="eastAsia"/>
        </w:rPr>
        <w:t xml:space="preserve">死亡退職</w:t>
      </w:r>
    </w:p>
    <w:p>
      <w:pPr>
        <w:pStyle w:val="Compact"/>
        <w:numPr>
          <w:ilvl w:val="0"/>
          <w:numId w:val="1005"/>
        </w:numPr>
      </w:pPr>
      <w:r>
        <w:rPr>
          <w:rFonts w:hint="eastAsia"/>
        </w:rPr>
        <w:t xml:space="preserve">業務上の傷病による退職</w:t>
      </w:r>
    </w:p>
    <w:p>
      <w:pPr>
        <w:pStyle w:val="Compact"/>
        <w:numPr>
          <w:ilvl w:val="0"/>
          <w:numId w:val="1005"/>
        </w:numPr>
      </w:pPr>
      <w:r>
        <w:rPr>
          <w:rFonts w:hint="eastAsia"/>
        </w:rPr>
        <w:t xml:space="preserve">その他、退職事由が認められたとき</w:t>
      </w:r>
    </w:p>
    <w:p>
      <w:pPr>
        <w:pStyle w:val="Compact"/>
        <w:numPr>
          <w:ilvl w:val="0"/>
          <w:numId w:val="1006"/>
        </w:numPr>
      </w:pPr>
      <w:r>
        <w:t xml:space="preserve">ただし、</w:t>
      </w:r>
      <w:r>
        <w:rPr>
          <w:rFonts w:hint="eastAsia"/>
          <w:b/>
          <w:bCs/>
        </w:rPr>
        <w:t xml:space="preserve">勤続年数が[3年]未満</w:t>
      </w:r>
      <w:r>
        <w:rPr>
          <w:rFonts w:hint="eastAsia"/>
        </w:rPr>
        <w:t xml:space="preserve">の従業員には、退職金を支給しない。</w:t>
      </w:r>
    </w:p>
    <w:bookmarkEnd w:id="12"/>
    <w:bookmarkEnd w:id="13"/>
    <w:bookmarkStart w:id="17" w:name="第2章-退職金の算定"/>
    <w:p>
      <w:pPr>
        <w:pStyle w:val="Heading2"/>
      </w:pPr>
      <w:r>
        <w:rPr>
          <w:rFonts w:hint="eastAsia"/>
        </w:rPr>
        <w:t xml:space="preserve">第2章</w:t>
      </w:r>
      <w:r>
        <w:t xml:space="preserve"> </w:t>
      </w:r>
      <w:r>
        <w:rPr>
          <w:rFonts w:hint="eastAsia"/>
        </w:rPr>
        <w:t xml:space="preserve">退職金の算定</w:t>
      </w:r>
    </w:p>
    <w:bookmarkStart w:id="14" w:name="第4条退職金の算定方法"/>
    <w:p>
      <w:pPr>
        <w:pStyle w:val="Heading3"/>
      </w:pPr>
      <w:r>
        <w:rPr>
          <w:rFonts w:hint="eastAsia"/>
        </w:rPr>
        <w:t xml:space="preserve">第4条(退職金の算定方法)</w:t>
      </w:r>
    </w:p>
    <w:p>
      <w:pPr>
        <w:pStyle w:val="FirstParagraph"/>
      </w:pPr>
      <w:r>
        <w:rPr>
          <w:rFonts w:hint="eastAsia"/>
        </w:rPr>
        <w:t xml:space="preserve">退職金は、次のうち、別途定めるところにより算定する。</w:t>
      </w:r>
    </w:p>
    <w:p>
      <w:pPr>
        <w:pStyle w:val="BodyText"/>
      </w:pPr>
      <w:r>
        <w:rPr>
          <w:rFonts w:hint="eastAsia"/>
        </w:rPr>
        <w:t xml:space="preserve">(以下の3類型から、自社の方針に応じて選択して使用)</w:t>
      </w:r>
    </w:p>
    <w:p>
      <w:pPr>
        <w:pStyle w:val="BodyText"/>
      </w:pPr>
      <w:r>
        <w:t xml:space="preserve">☐</w:t>
      </w:r>
      <w:r>
        <w:t xml:space="preserve"> </w:t>
      </w:r>
      <w:r>
        <w:rPr>
          <w:b/>
          <w:bCs/>
        </w:rPr>
        <w:t xml:space="preserve">4-A </w:t>
      </w:r>
      <w:r>
        <w:rPr>
          <w:rFonts w:hint="eastAsia"/>
          <w:b/>
          <w:bCs/>
        </w:rPr>
        <w:t xml:space="preserve">基本給連動型</w:t>
      </w:r>
      <w:r>
        <w:rPr>
          <w:rFonts w:hint="eastAsia"/>
        </w:rPr>
        <w:t xml:space="preserve">(本テンプレートの主構成)</w:t>
      </w:r>
    </w:p>
    <w:p>
      <w:pPr>
        <w:pStyle w:val="BodyText"/>
      </w:pPr>
      <w:r>
        <w:rPr>
          <w:rFonts w:hint="eastAsia"/>
        </w:rPr>
        <w:t xml:space="preserve">退職金は、次の算式により算定する。</w:t>
      </w:r>
    </w:p>
    <w:p>
      <w:pPr>
        <w:pStyle w:val="BodyText"/>
      </w:pPr>
      <w:r>
        <w:rPr>
          <w:rFonts w:hint="eastAsia"/>
          <w:b/>
          <w:bCs/>
        </w:rPr>
        <w:t xml:space="preserve">退職金</w:t>
      </w:r>
      <w:r>
        <w:rPr>
          <w:b/>
          <w:bCs/>
        </w:rPr>
        <w:t xml:space="preserve"> = </w:t>
      </w:r>
      <w:r>
        <w:rPr>
          <w:rFonts w:hint="eastAsia"/>
          <w:b/>
          <w:bCs/>
        </w:rPr>
        <w:t xml:space="preserve">退職時の基本給</w:t>
      </w:r>
      <w:r>
        <w:rPr>
          <w:b/>
          <w:bCs/>
        </w:rPr>
        <w:t xml:space="preserve"> × </w:t>
      </w:r>
      <w:r>
        <w:rPr>
          <w:rFonts w:hint="eastAsia"/>
          <w:b/>
          <w:bCs/>
        </w:rPr>
        <w:t xml:space="preserve">勤続年数別支給率</w:t>
      </w:r>
      <w:r>
        <w:rPr>
          <w:b/>
          <w:bCs/>
        </w:rPr>
        <w:t xml:space="preserve"> × </w:t>
      </w:r>
      <w:r>
        <w:rPr>
          <w:rFonts w:hint="eastAsia"/>
          <w:b/>
          <w:bCs/>
        </w:rPr>
        <w:t xml:space="preserve">退職事由別係数</w:t>
      </w:r>
    </w:p>
    <w:p>
      <w:pPr>
        <w:pStyle w:val="Compact"/>
        <w:numPr>
          <w:ilvl w:val="0"/>
          <w:numId w:val="1007"/>
        </w:numPr>
      </w:pPr>
      <w:r>
        <w:rPr>
          <w:rFonts w:hint="eastAsia"/>
        </w:rPr>
        <w:t xml:space="preserve">「退職時の基本給」とは、退職の直前月の所定内給与のうち基本給をいう。</w:t>
      </w:r>
    </w:p>
    <w:p>
      <w:pPr>
        <w:pStyle w:val="Compact"/>
        <w:numPr>
          <w:ilvl w:val="0"/>
          <w:numId w:val="1007"/>
        </w:numPr>
      </w:pPr>
      <w:r>
        <w:rPr>
          <w:rFonts w:hint="eastAsia"/>
        </w:rPr>
        <w:t xml:space="preserve">「勤続年数別支給率」は、別表第1に定めるとおりとする。</w:t>
      </w:r>
    </w:p>
    <w:p>
      <w:pPr>
        <w:pStyle w:val="Compact"/>
        <w:numPr>
          <w:ilvl w:val="0"/>
          <w:numId w:val="1007"/>
        </w:numPr>
      </w:pPr>
      <w:r>
        <w:rPr>
          <w:rFonts w:hint="eastAsia"/>
        </w:rPr>
        <w:t xml:space="preserve">「退職事由別係数」は、第6条に定めるとおりとする。</w:t>
      </w:r>
    </w:p>
    <w:p>
      <w:pPr>
        <w:pStyle w:val="FirstParagraph"/>
      </w:pPr>
      <w:r>
        <w:t xml:space="preserve">☐</w:t>
      </w:r>
      <w:r>
        <w:t xml:space="preserve"> </w:t>
      </w:r>
      <w:r>
        <w:rPr>
          <w:b/>
          <w:bCs/>
        </w:rPr>
        <w:t xml:space="preserve">4-B </w:t>
      </w:r>
      <w:r>
        <w:rPr>
          <w:rFonts w:hint="eastAsia"/>
          <w:b/>
          <w:bCs/>
        </w:rPr>
        <w:t xml:space="preserve">ポイント制</w:t>
      </w:r>
    </w:p>
    <w:p>
      <w:pPr>
        <w:pStyle w:val="BodyText"/>
      </w:pPr>
      <w:r>
        <w:rPr>
          <w:rFonts w:hint="eastAsia"/>
        </w:rPr>
        <w:t xml:space="preserve">退職金は、次の算式により算定する。</w:t>
      </w:r>
    </w:p>
    <w:p>
      <w:pPr>
        <w:pStyle w:val="BodyText"/>
      </w:pPr>
      <w:r>
        <w:rPr>
          <w:rFonts w:hint="eastAsia"/>
          <w:b/>
          <w:bCs/>
        </w:rPr>
        <w:t xml:space="preserve">退職金</w:t>
      </w:r>
      <w:r>
        <w:rPr>
          <w:b/>
          <w:bCs/>
        </w:rPr>
        <w:t xml:space="preserve"> = </w:t>
      </w:r>
      <w:r>
        <w:rPr>
          <w:rFonts w:hint="eastAsia"/>
          <w:b/>
          <w:bCs/>
        </w:rPr>
        <w:t xml:space="preserve">累積退職金ポイント</w:t>
      </w:r>
      <w:r>
        <w:rPr>
          <w:b/>
          <w:bCs/>
        </w:rPr>
        <w:t xml:space="preserve"> × </w:t>
      </w:r>
      <w:r>
        <w:rPr>
          <w:rFonts w:hint="eastAsia"/>
          <w:b/>
          <w:bCs/>
        </w:rPr>
        <w:t xml:space="preserve">ポイント単価</w:t>
      </w:r>
      <w:r>
        <w:rPr>
          <w:b/>
          <w:bCs/>
        </w:rPr>
        <w:t xml:space="preserve"> × </w:t>
      </w:r>
      <w:r>
        <w:rPr>
          <w:rFonts w:hint="eastAsia"/>
          <w:b/>
          <w:bCs/>
        </w:rPr>
        <w:t xml:space="preserve">退職事由別係数</w:t>
      </w:r>
    </w:p>
    <w:p>
      <w:pPr>
        <w:pStyle w:val="Compact"/>
        <w:numPr>
          <w:ilvl w:val="0"/>
          <w:numId w:val="1008"/>
        </w:numPr>
      </w:pPr>
      <w:r>
        <w:rPr>
          <w:rFonts w:hint="eastAsia"/>
        </w:rPr>
        <w:t xml:space="preserve">「累積退職金ポイント」は、別表第2に定める年間ポイントの累計とする。</w:t>
      </w:r>
    </w:p>
    <w:p>
      <w:pPr>
        <w:pStyle w:val="Compact"/>
        <w:numPr>
          <w:ilvl w:val="0"/>
          <w:numId w:val="1008"/>
        </w:numPr>
      </w:pPr>
      <w:r>
        <w:rPr>
          <w:rFonts w:hint="eastAsia"/>
        </w:rPr>
        <w:t xml:space="preserve">「ポイント単価」は、金[10,000]円とする(別途、社会経済情勢を踏まえ会社が見直す)。</w:t>
      </w:r>
    </w:p>
    <w:p>
      <w:pPr>
        <w:pStyle w:val="Compact"/>
        <w:numPr>
          <w:ilvl w:val="0"/>
          <w:numId w:val="1008"/>
        </w:numPr>
      </w:pPr>
      <w:r>
        <w:rPr>
          <w:rFonts w:hint="eastAsia"/>
        </w:rPr>
        <w:t xml:space="preserve">「退職事由別係数」は、第6条に定めるとおりとする。</w:t>
      </w:r>
    </w:p>
    <w:p>
      <w:pPr>
        <w:pStyle w:val="FirstParagraph"/>
      </w:pPr>
      <w:r>
        <w:t xml:space="preserve">☐</w:t>
      </w:r>
      <w:r>
        <w:t xml:space="preserve"> </w:t>
      </w:r>
      <w:r>
        <w:rPr>
          <w:b/>
          <w:bCs/>
        </w:rPr>
        <w:t xml:space="preserve">4-C </w:t>
      </w:r>
      <w:r>
        <w:rPr>
          <w:rFonts w:hint="eastAsia"/>
          <w:b/>
          <w:bCs/>
        </w:rPr>
        <w:t xml:space="preserve">別表方式</w:t>
      </w:r>
    </w:p>
    <w:p>
      <w:pPr>
        <w:pStyle w:val="BodyText"/>
      </w:pPr>
      <w:r>
        <w:rPr>
          <w:rFonts w:hint="eastAsia"/>
        </w:rPr>
        <w:t xml:space="preserve">退職金は、別表第3に定める勤続年数別の退職金額に、退職事由別係数(第6条)を乗じて算定する。</w:t>
      </w:r>
    </w:p>
    <w:bookmarkEnd w:id="14"/>
    <w:bookmarkStart w:id="15" w:name="第5条勤続年数の計算"/>
    <w:p>
      <w:pPr>
        <w:pStyle w:val="Heading3"/>
      </w:pPr>
      <w:r>
        <w:rPr>
          <w:rFonts w:hint="eastAsia"/>
        </w:rPr>
        <w:t xml:space="preserve">第5条(勤続年数の計算)</w:t>
      </w:r>
    </w:p>
    <w:p>
      <w:pPr>
        <w:pStyle w:val="Compact"/>
        <w:numPr>
          <w:ilvl w:val="0"/>
          <w:numId w:val="1009"/>
        </w:numPr>
      </w:pPr>
      <w:r>
        <w:rPr>
          <w:rFonts w:hint="eastAsia"/>
        </w:rPr>
        <w:t xml:space="preserve">勤続年数は、会社への</w:t>
      </w:r>
      <w:r>
        <w:rPr>
          <w:rFonts w:hint="eastAsia"/>
          <w:b/>
          <w:bCs/>
        </w:rPr>
        <w:t xml:space="preserve">入社日</w:t>
      </w:r>
      <w:r>
        <w:rPr>
          <w:rFonts w:hint="eastAsia"/>
        </w:rPr>
        <w:t xml:space="preserve">から起算し、退職日までとする(試用期間を含む)。</w:t>
      </w:r>
    </w:p>
    <w:p>
      <w:pPr>
        <w:pStyle w:val="Compact"/>
        <w:numPr>
          <w:ilvl w:val="0"/>
          <w:numId w:val="1009"/>
        </w:numPr>
      </w:pPr>
      <w:r>
        <w:rPr>
          <w:rFonts w:hint="eastAsia"/>
        </w:rPr>
        <w:t xml:space="preserve">次の期間は、勤続年数に</w:t>
      </w:r>
      <w:r>
        <w:rPr>
          <w:rFonts w:hint="eastAsia"/>
          <w:b/>
          <w:bCs/>
        </w:rPr>
        <w:t xml:space="preserve">算入しない</w:t>
      </w:r>
      <w:r>
        <w:t xml:space="preserve">。</w:t>
      </w:r>
    </w:p>
    <w:p>
      <w:pPr>
        <w:pStyle w:val="Compact"/>
        <w:numPr>
          <w:ilvl w:val="0"/>
          <w:numId w:val="1010"/>
        </w:numPr>
      </w:pPr>
      <w:r>
        <w:rPr>
          <w:rFonts w:hint="eastAsia"/>
        </w:rPr>
        <w:t xml:space="preserve">私傷病休職期間</w:t>
      </w:r>
    </w:p>
    <w:p>
      <w:pPr>
        <w:pStyle w:val="Compact"/>
        <w:numPr>
          <w:ilvl w:val="0"/>
          <w:numId w:val="1010"/>
        </w:numPr>
      </w:pPr>
      <w:r>
        <w:rPr>
          <w:rFonts w:hint="eastAsia"/>
        </w:rPr>
        <w:t xml:space="preserve">自己都合による休業期間</w:t>
      </w:r>
    </w:p>
    <w:p>
      <w:pPr>
        <w:pStyle w:val="Compact"/>
        <w:numPr>
          <w:ilvl w:val="0"/>
          <w:numId w:val="1010"/>
        </w:numPr>
      </w:pPr>
      <w:r>
        <w:rPr>
          <w:rFonts w:hint="eastAsia"/>
        </w:rPr>
        <w:t xml:space="preserve">その他、会社が定める休職・休業期間</w:t>
      </w:r>
    </w:p>
    <w:p>
      <w:pPr>
        <w:pStyle w:val="Compact"/>
        <w:numPr>
          <w:ilvl w:val="0"/>
          <w:numId w:val="1011"/>
        </w:numPr>
      </w:pPr>
      <w:r>
        <w:rPr>
          <w:rFonts w:hint="eastAsia"/>
        </w:rPr>
        <w:t xml:space="preserve">次の期間は、勤続年数に</w:t>
      </w:r>
      <w:r>
        <w:rPr>
          <w:rFonts w:hint="eastAsia"/>
          <w:b/>
          <w:bCs/>
        </w:rPr>
        <w:t xml:space="preserve">算入する</w:t>
      </w:r>
      <w:r>
        <w:t xml:space="preserve">。</w:t>
      </w:r>
    </w:p>
    <w:p>
      <w:pPr>
        <w:pStyle w:val="Compact"/>
        <w:numPr>
          <w:ilvl w:val="0"/>
          <w:numId w:val="1012"/>
        </w:numPr>
      </w:pPr>
      <w:r>
        <w:rPr>
          <w:rFonts w:hint="eastAsia"/>
        </w:rPr>
        <w:t xml:space="preserve">産前産後休業・育児休業期間</w:t>
      </w:r>
    </w:p>
    <w:p>
      <w:pPr>
        <w:pStyle w:val="Compact"/>
        <w:numPr>
          <w:ilvl w:val="0"/>
          <w:numId w:val="1012"/>
        </w:numPr>
      </w:pPr>
      <w:r>
        <w:rPr>
          <w:rFonts w:hint="eastAsia"/>
        </w:rPr>
        <w:t xml:space="preserve">介護休業期間</w:t>
      </w:r>
    </w:p>
    <w:p>
      <w:pPr>
        <w:pStyle w:val="Compact"/>
        <w:numPr>
          <w:ilvl w:val="0"/>
          <w:numId w:val="1012"/>
        </w:numPr>
      </w:pPr>
      <w:r>
        <w:rPr>
          <w:rFonts w:hint="eastAsia"/>
        </w:rPr>
        <w:t xml:space="preserve">業務災害による休業期間</w:t>
      </w:r>
    </w:p>
    <w:p>
      <w:pPr>
        <w:pStyle w:val="Compact"/>
        <w:numPr>
          <w:ilvl w:val="0"/>
          <w:numId w:val="1012"/>
        </w:numPr>
      </w:pPr>
      <w:r>
        <w:rPr>
          <w:rFonts w:hint="eastAsia"/>
        </w:rPr>
        <w:t xml:space="preserve">会社都合による休業期間</w:t>
      </w:r>
    </w:p>
    <w:p>
      <w:pPr>
        <w:pStyle w:val="Compact"/>
        <w:numPr>
          <w:ilvl w:val="0"/>
          <w:numId w:val="1012"/>
        </w:numPr>
      </w:pPr>
      <w:r>
        <w:rPr>
          <w:rFonts w:hint="eastAsia"/>
        </w:rPr>
        <w:t xml:space="preserve">その他、法律で勤続年数に算入することが定められている期間</w:t>
      </w:r>
    </w:p>
    <w:p>
      <w:pPr>
        <w:pStyle w:val="Compact"/>
        <w:numPr>
          <w:ilvl w:val="0"/>
          <w:numId w:val="1013"/>
        </w:numPr>
      </w:pPr>
      <w:r>
        <w:rPr>
          <w:rFonts w:hint="eastAsia"/>
        </w:rPr>
        <w:t xml:space="preserve">勤続年数の計算において、1年未満の端数は、6か月以上を1年とし、6か月未満を切り捨てる。</w:t>
      </w:r>
    </w:p>
    <w:bookmarkEnd w:id="15"/>
    <w:bookmarkStart w:id="16" w:name="第6条退職事由別係数"/>
    <w:p>
      <w:pPr>
        <w:pStyle w:val="Heading3"/>
      </w:pPr>
      <w:r>
        <w:rPr>
          <w:rFonts w:hint="eastAsia"/>
        </w:rPr>
        <w:t xml:space="preserve">第6条(退職事由別係数)</w:t>
      </w:r>
    </w:p>
    <w:p>
      <w:pPr>
        <w:pStyle w:val="FirstParagraph"/>
      </w:pPr>
      <w:r>
        <w:rPr>
          <w:rFonts w:hint="eastAsia"/>
        </w:rPr>
        <w:t xml:space="preserve">退職事由別係数は、次のとおりとする。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退職事由</w:t>
            </w:r>
          </w:p>
        </w:tc>
        <w:tc>
          <w:tcPr/>
          <w:p>
            <w:pPr>
              <w:pStyle w:val="Compact"/>
            </w:pPr>
            <w:r>
              <w:rPr>
                <w:rFonts w:hint="eastAsia"/>
              </w:rPr>
              <w:t xml:space="preserve">係数</w:t>
            </w:r>
          </w:p>
        </w:tc>
      </w:tr>
      <w:tr>
        <w:tc>
          <w:tcPr/>
          <w:p>
            <w:pPr>
              <w:pStyle w:val="Compact"/>
            </w:pPr>
            <w:r>
              <w:rPr>
                <w:rFonts w:hint="eastAsia"/>
                <w:b/>
                <w:bCs/>
              </w:rPr>
              <w:t xml:space="preserve">定年退職</w:t>
            </w:r>
          </w:p>
        </w:tc>
        <w:tc>
          <w:tcPr/>
          <w:p>
            <w:pPr>
              <w:pStyle w:val="Compact"/>
            </w:pPr>
            <w:r>
              <w:t xml:space="preserve">1.0</w:t>
            </w:r>
          </w:p>
        </w:tc>
      </w:tr>
      <w:tr>
        <w:tc>
          <w:tcPr/>
          <w:p>
            <w:pPr>
              <w:pStyle w:val="Compact"/>
            </w:pPr>
            <w:r>
              <w:rPr>
                <w:rFonts w:hint="eastAsia"/>
                <w:b/>
                <w:bCs/>
              </w:rPr>
              <w:t xml:space="preserve">会社都合退職</w:t>
            </w:r>
            <w:r>
              <w:rPr>
                <w:rFonts w:hint="eastAsia"/>
              </w:rPr>
              <w:t xml:space="preserve">(事業上の都合による解雇・希望退職への応募等)</w:t>
            </w:r>
          </w:p>
        </w:tc>
        <w:tc>
          <w:tcPr/>
          <w:p>
            <w:pPr>
              <w:pStyle w:val="Compact"/>
            </w:pPr>
            <w:r>
              <w:rPr>
                <w:rFonts w:hint="eastAsia"/>
              </w:rPr>
              <w:t xml:space="preserve">1.0(または1.1〜1.3に加算可能)</w:t>
            </w:r>
          </w:p>
        </w:tc>
      </w:tr>
      <w:tr>
        <w:tc>
          <w:tcPr/>
          <w:p>
            <w:pPr>
              <w:pStyle w:val="Compact"/>
            </w:pPr>
            <w:r>
              <w:rPr>
                <w:rFonts w:hint="eastAsia"/>
                <w:b/>
                <w:bCs/>
              </w:rPr>
              <w:t xml:space="preserve">自己都合退職</w:t>
            </w:r>
          </w:p>
        </w:tc>
        <w:tc>
          <w:tcPr/>
          <w:p>
            <w:pPr>
              <w:pStyle w:val="Compact"/>
            </w:pPr>
            <w:r>
              <w:rPr>
                <w:b/>
                <w:bCs/>
              </w:rPr>
              <w:t xml:space="preserve">0.7</w:t>
            </w:r>
            <w:r>
              <w:rPr>
                <w:rFonts w:hint="eastAsia"/>
              </w:rPr>
              <w:t xml:space="preserve">(または0.6〜0.8の範囲で設定)</w:t>
            </w:r>
          </w:p>
        </w:tc>
      </w:tr>
      <w:tr>
        <w:tc>
          <w:tcPr/>
          <w:p>
            <w:pPr>
              <w:pStyle w:val="Compact"/>
            </w:pPr>
            <w:r>
              <w:rPr>
                <w:rFonts w:hint="eastAsia"/>
                <w:b/>
                <w:bCs/>
              </w:rPr>
              <w:t xml:space="preserve">死亡退職</w:t>
            </w:r>
            <w:r>
              <w:rPr>
                <w:rFonts w:hint="eastAsia"/>
              </w:rPr>
              <w:t xml:space="preserve">(業務上の事由による場合を含む)</w:t>
            </w:r>
          </w:p>
        </w:tc>
        <w:tc>
          <w:tcPr/>
          <w:p>
            <w:pPr>
              <w:pStyle w:val="Compact"/>
            </w:pPr>
            <w:r>
              <w:t xml:space="preserve">1.0</w:t>
            </w:r>
          </w:p>
        </w:tc>
      </w:tr>
      <w:tr>
        <w:tc>
          <w:tcPr/>
          <w:p>
            <w:pPr>
              <w:pStyle w:val="Compact"/>
            </w:pPr>
            <w:r>
              <w:rPr>
                <w:rFonts w:hint="eastAsia"/>
                <w:b/>
                <w:bCs/>
              </w:rPr>
              <w:t xml:space="preserve">業務上の傷病による退職</w:t>
            </w:r>
          </w:p>
        </w:tc>
        <w:tc>
          <w:tcPr/>
          <w:p>
            <w:pPr>
              <w:pStyle w:val="Compact"/>
            </w:pPr>
            <w:r>
              <w:t xml:space="preserve">1.0</w:t>
            </w:r>
          </w:p>
        </w:tc>
      </w:tr>
      <w:tr>
        <w:tc>
          <w:tcPr/>
          <w:p>
            <w:pPr>
              <w:pStyle w:val="Compact"/>
            </w:pPr>
            <w:r>
              <w:rPr>
                <w:rFonts w:hint="eastAsia"/>
                <w:b/>
                <w:bCs/>
              </w:rPr>
              <w:t xml:space="preserve">懲戒解雇</w:t>
            </w:r>
            <w:r>
              <w:rPr>
                <w:rFonts w:hint="eastAsia"/>
              </w:rPr>
              <w:t xml:space="preserve">(第8条参照)</w:t>
            </w:r>
          </w:p>
        </w:tc>
        <w:tc>
          <w:tcPr/>
          <w:p>
            <w:pPr>
              <w:pStyle w:val="Compact"/>
            </w:pPr>
            <w:r>
              <w:rPr>
                <w:b/>
                <w:bCs/>
              </w:rPr>
              <w:t xml:space="preserve">0</w:t>
            </w:r>
            <w:r>
              <w:rPr>
                <w:rFonts w:hint="eastAsia"/>
              </w:rPr>
              <w:t xml:space="preserve">(不支給)または</w:t>
            </w:r>
            <w:r>
              <w:rPr>
                <w:b/>
                <w:bCs/>
              </w:rPr>
              <w:t xml:space="preserve">0.3〜0.5</w:t>
            </w:r>
            <w:r>
              <w:rPr>
                <w:rFonts w:hint="eastAsia"/>
              </w:rPr>
              <w:t xml:space="preserve">(大幅減額)</w:t>
            </w:r>
          </w:p>
        </w:tc>
      </w:tr>
    </w:tbl>
    <w:bookmarkEnd w:id="16"/>
    <w:bookmarkEnd w:id="17"/>
    <w:bookmarkStart w:id="21" w:name="第3章-退職金の支給"/>
    <w:p>
      <w:pPr>
        <w:pStyle w:val="Heading2"/>
      </w:pPr>
      <w:r>
        <w:rPr>
          <w:rFonts w:hint="eastAsia"/>
        </w:rPr>
        <w:t xml:space="preserve">第3章</w:t>
      </w:r>
      <w:r>
        <w:t xml:space="preserve"> </w:t>
      </w:r>
      <w:r>
        <w:rPr>
          <w:rFonts w:hint="eastAsia"/>
        </w:rPr>
        <w:t xml:space="preserve">退職金の支給</w:t>
      </w:r>
    </w:p>
    <w:bookmarkStart w:id="18" w:name="第7条支給時期および方法"/>
    <w:p>
      <w:pPr>
        <w:pStyle w:val="Heading3"/>
      </w:pPr>
      <w:r>
        <w:rPr>
          <w:rFonts w:hint="eastAsia"/>
        </w:rPr>
        <w:t xml:space="preserve">第7条(支給時期および方法)</w:t>
      </w:r>
    </w:p>
    <w:p>
      <w:pPr>
        <w:pStyle w:val="Compact"/>
        <w:numPr>
          <w:ilvl w:val="0"/>
          <w:numId w:val="1014"/>
        </w:numPr>
      </w:pPr>
      <w:r>
        <w:rPr>
          <w:rFonts w:hint="eastAsia"/>
        </w:rPr>
        <w:t xml:space="preserve">退職金は、退職日から</w:t>
      </w:r>
      <w:r>
        <w:rPr>
          <w:rFonts w:hint="eastAsia"/>
          <w:b/>
          <w:bCs/>
        </w:rPr>
        <w:t xml:space="preserve">[1か月以内]</w:t>
      </w:r>
      <w:r>
        <w:rPr>
          <w:rFonts w:hint="eastAsia"/>
        </w:rPr>
        <w:t xml:space="preserve">(または「[2か月以内]」)に支給する。ただし、退職金の額が高額で資金準備に相当の期間を要する場合、または死亡退職等で支給先確認に時間を要する場合、別途協議の上、支給時期を延長することができる。</w:t>
      </w:r>
    </w:p>
    <w:p>
      <w:pPr>
        <w:pStyle w:val="Compact"/>
        <w:numPr>
          <w:ilvl w:val="0"/>
          <w:numId w:val="1014"/>
        </w:numPr>
      </w:pPr>
      <w:r>
        <w:rPr>
          <w:rFonts w:hint="eastAsia"/>
        </w:rPr>
        <w:t xml:space="preserve">退職金は、本人の指定する銀行口座への振込により支給する。ただし、本人の請求があるときは現金支給とすることができる。</w:t>
      </w:r>
    </w:p>
    <w:p>
      <w:pPr>
        <w:pStyle w:val="Compact"/>
        <w:numPr>
          <w:ilvl w:val="0"/>
          <w:numId w:val="1014"/>
        </w:numPr>
      </w:pPr>
      <w:r>
        <w:rPr>
          <w:rFonts w:hint="eastAsia"/>
        </w:rPr>
        <w:t xml:space="preserve">振込手数料は会社の負担とする。</w:t>
      </w:r>
    </w:p>
    <w:p>
      <w:pPr>
        <w:pStyle w:val="Compact"/>
        <w:numPr>
          <w:ilvl w:val="0"/>
          <w:numId w:val="1014"/>
        </w:numPr>
      </w:pPr>
      <w:r>
        <w:rPr>
          <w:rFonts w:hint="eastAsia"/>
        </w:rPr>
        <w:t xml:space="preserve">退職金は、原則として</w:t>
      </w:r>
      <w:r>
        <w:rPr>
          <w:rFonts w:hint="eastAsia"/>
          <w:b/>
          <w:bCs/>
        </w:rPr>
        <w:t xml:space="preserve">一括支給</w:t>
      </w:r>
      <w:r>
        <w:rPr>
          <w:rFonts w:hint="eastAsia"/>
        </w:rPr>
        <w:t xml:space="preserve">とする。ただし、本人の同意があるときは、分割支給とすることができる。</w:t>
      </w:r>
    </w:p>
    <w:p>
      <w:pPr>
        <w:pStyle w:val="Compact"/>
        <w:numPr>
          <w:ilvl w:val="0"/>
          <w:numId w:val="1014"/>
        </w:numPr>
      </w:pPr>
      <w:r>
        <w:rPr>
          <w:rFonts w:hint="eastAsia"/>
        </w:rPr>
        <w:t xml:space="preserve">死亡退職の場合の退職金支給先は、第9条(死亡退職時の取扱い)に定めるとおりとする。</w:t>
      </w:r>
    </w:p>
    <w:bookmarkEnd w:id="18"/>
    <w:bookmarkStart w:id="19" w:name="第8条不支給および減額"/>
    <w:p>
      <w:pPr>
        <w:pStyle w:val="Heading3"/>
      </w:pPr>
      <w:r>
        <w:rPr>
          <w:rFonts w:hint="eastAsia"/>
        </w:rPr>
        <w:t xml:space="preserve">第8条(不支給および減額)</w:t>
      </w:r>
    </w:p>
    <w:p>
      <w:pPr>
        <w:pStyle w:val="Compact"/>
        <w:numPr>
          <w:ilvl w:val="0"/>
          <w:numId w:val="1015"/>
        </w:numPr>
      </w:pPr>
      <w:r>
        <w:rPr>
          <w:rFonts w:hint="eastAsia"/>
        </w:rPr>
        <w:t xml:space="preserve">次の各号のいずれかに該当する者には、退職金の</w:t>
      </w:r>
      <w:r>
        <w:rPr>
          <w:rFonts w:hint="eastAsia"/>
          <w:b/>
          <w:bCs/>
        </w:rPr>
        <w:t xml:space="preserve">全部または一部を支給しない</w:t>
      </w:r>
      <w:r>
        <w:t xml:space="preserve">ことがある。</w:t>
      </w:r>
    </w:p>
    <w:p>
      <w:pPr>
        <w:pStyle w:val="Compact"/>
        <w:numPr>
          <w:ilvl w:val="0"/>
          <w:numId w:val="1016"/>
        </w:numPr>
      </w:pPr>
      <w:r>
        <w:rPr>
          <w:rFonts w:hint="eastAsia"/>
        </w:rPr>
        <w:t xml:space="preserve">在職中に懲戒解雇された者</w:t>
      </w:r>
    </w:p>
    <w:p>
      <w:pPr>
        <w:pStyle w:val="Compact"/>
        <w:numPr>
          <w:ilvl w:val="0"/>
          <w:numId w:val="1016"/>
        </w:numPr>
      </w:pPr>
      <w:r>
        <w:rPr>
          <w:rFonts w:hint="eastAsia"/>
        </w:rPr>
        <w:t xml:space="preserve">在職中に重大な背信行為(横領・詐欺・重要な機密漏洩等)を行い、退職後にその事実が判明した者</w:t>
      </w:r>
    </w:p>
    <w:p>
      <w:pPr>
        <w:pStyle w:val="Compact"/>
        <w:numPr>
          <w:ilvl w:val="0"/>
          <w:numId w:val="1016"/>
        </w:numPr>
      </w:pPr>
      <w:r>
        <w:rPr>
          <w:rFonts w:hint="eastAsia"/>
        </w:rPr>
        <w:t xml:space="preserve">退職後に競業避止義務に著しく違反し、会社の事業に重大な損害を与えた者</w:t>
      </w:r>
    </w:p>
    <w:p>
      <w:pPr>
        <w:pStyle w:val="Compact"/>
        <w:numPr>
          <w:ilvl w:val="0"/>
          <w:numId w:val="1016"/>
        </w:numPr>
      </w:pPr>
      <w:r>
        <w:rPr>
          <w:rFonts w:hint="eastAsia"/>
        </w:rPr>
        <w:t xml:space="preserve">退職後に在職中の重大な非行が判明した者</w:t>
      </w:r>
    </w:p>
    <w:p>
      <w:pPr>
        <w:pStyle w:val="Compact"/>
        <w:numPr>
          <w:ilvl w:val="0"/>
          <w:numId w:val="1017"/>
        </w:numPr>
      </w:pPr>
      <w:r>
        <w:rPr>
          <w:rFonts w:hint="eastAsia"/>
        </w:rPr>
        <w:t xml:space="preserve">前項の不支給・減額の判定は、当該行為の重大性、会社への損害の程度、勤続功労との均衡、社会通念等を総合的に考慮の上、相当性のある範囲で行う。</w:t>
      </w:r>
    </w:p>
    <w:p>
      <w:pPr>
        <w:pStyle w:val="Compact"/>
        <w:numPr>
          <w:ilvl w:val="0"/>
          <w:numId w:val="1017"/>
        </w:numPr>
      </w:pPr>
      <w:r>
        <w:rPr>
          <w:rFonts w:hint="eastAsia"/>
        </w:rPr>
        <w:t xml:space="preserve">すでに支給した退職金については、第1項の事由が後日判明した場合、会社は受領者に対し、相当額の返還を請求することができる。</w:t>
      </w:r>
    </w:p>
    <w:bookmarkEnd w:id="19"/>
    <w:bookmarkStart w:id="20" w:name="第9条死亡退職時の取扱い"/>
    <w:p>
      <w:pPr>
        <w:pStyle w:val="Heading3"/>
      </w:pPr>
      <w:r>
        <w:rPr>
          <w:rFonts w:hint="eastAsia"/>
        </w:rPr>
        <w:t xml:space="preserve">第9条(死亡退職時の取扱い)</w:t>
      </w:r>
    </w:p>
    <w:p>
      <w:pPr>
        <w:pStyle w:val="Compact"/>
        <w:numPr>
          <w:ilvl w:val="0"/>
          <w:numId w:val="1018"/>
        </w:numPr>
      </w:pPr>
      <w:r>
        <w:rPr>
          <w:rFonts w:hint="eastAsia"/>
        </w:rPr>
        <w:t xml:space="preserve">従業員が死亡退職した場合、退職金は、次の順位により、本人の遺族(以下「受給権者」という。)に支給する。</w:t>
      </w:r>
    </w:p>
    <w:p>
      <w:pPr>
        <w:pStyle w:val="Compact"/>
        <w:numPr>
          <w:ilvl w:val="0"/>
          <w:numId w:val="1019"/>
        </w:numPr>
      </w:pPr>
      <w:r>
        <w:rPr>
          <w:rFonts w:hint="eastAsia"/>
        </w:rPr>
        <w:t xml:space="preserve">配偶者(内縁関係にある者を含む)</w:t>
      </w:r>
    </w:p>
    <w:p>
      <w:pPr>
        <w:pStyle w:val="Compact"/>
        <w:numPr>
          <w:ilvl w:val="0"/>
          <w:numId w:val="1019"/>
        </w:numPr>
      </w:pPr>
      <w:r>
        <w:rPr>
          <w:rFonts w:hint="eastAsia"/>
        </w:rPr>
        <w:t xml:space="preserve">子(嫡出・非嫡出を問わず、養子を含む)</w:t>
      </w:r>
    </w:p>
    <w:p>
      <w:pPr>
        <w:pStyle w:val="Compact"/>
        <w:numPr>
          <w:ilvl w:val="0"/>
          <w:numId w:val="1019"/>
        </w:numPr>
      </w:pPr>
      <w:r>
        <w:rPr>
          <w:rFonts w:hint="eastAsia"/>
        </w:rPr>
        <w:t xml:space="preserve">父母</w:t>
      </w:r>
    </w:p>
    <w:p>
      <w:pPr>
        <w:pStyle w:val="Compact"/>
        <w:numPr>
          <w:ilvl w:val="0"/>
          <w:numId w:val="1019"/>
        </w:numPr>
      </w:pPr>
      <w:r>
        <w:rPr>
          <w:rFonts w:hint="eastAsia"/>
        </w:rPr>
        <w:t xml:space="preserve">孫</w:t>
      </w:r>
    </w:p>
    <w:p>
      <w:pPr>
        <w:pStyle w:val="Compact"/>
        <w:numPr>
          <w:ilvl w:val="0"/>
          <w:numId w:val="1019"/>
        </w:numPr>
      </w:pPr>
      <w:r>
        <w:rPr>
          <w:rFonts w:hint="eastAsia"/>
        </w:rPr>
        <w:t xml:space="preserve">祖父母</w:t>
      </w:r>
    </w:p>
    <w:p>
      <w:pPr>
        <w:pStyle w:val="Compact"/>
        <w:numPr>
          <w:ilvl w:val="0"/>
          <w:numId w:val="1019"/>
        </w:numPr>
      </w:pPr>
      <w:r>
        <w:rPr>
          <w:rFonts w:hint="eastAsia"/>
        </w:rPr>
        <w:t xml:space="preserve">兄弟姉妹</w:t>
      </w:r>
    </w:p>
    <w:p>
      <w:pPr>
        <w:pStyle w:val="Compact"/>
        <w:numPr>
          <w:ilvl w:val="0"/>
          <w:numId w:val="1020"/>
        </w:numPr>
      </w:pPr>
      <w:r>
        <w:rPr>
          <w:rFonts w:hint="eastAsia"/>
        </w:rPr>
        <w:t xml:space="preserve">同順位の受給権者が複数いる場合、退職金は均等の割合により支給する。</w:t>
      </w:r>
    </w:p>
    <w:p>
      <w:pPr>
        <w:pStyle w:val="Compact"/>
        <w:numPr>
          <w:ilvl w:val="0"/>
          <w:numId w:val="1020"/>
        </w:numPr>
      </w:pPr>
      <w:r>
        <w:rPr>
          <w:rFonts w:hint="eastAsia"/>
        </w:rPr>
        <w:t xml:space="preserve">受給権者からの請求があったときは、第1項の順位にかかわらず、当該請求者を受給権者として支給することができる(他の受給権者間の調整は受給権者間に委ねる)。</w:t>
      </w:r>
    </w:p>
    <w:p>
      <w:pPr>
        <w:pStyle w:val="Compact"/>
        <w:numPr>
          <w:ilvl w:val="0"/>
          <w:numId w:val="1020"/>
        </w:numPr>
      </w:pPr>
      <w:r>
        <w:rPr>
          <w:rFonts w:hint="eastAsia"/>
        </w:rPr>
        <w:t xml:space="preserve">業務上の事由による死亡の場合、別途、</w:t>
      </w:r>
      <w:r>
        <w:rPr>
          <w:rFonts w:hint="eastAsia"/>
          <w:b/>
          <w:bCs/>
        </w:rPr>
        <w:t xml:space="preserve">弔慰金・死亡退職金加算金</w:t>
      </w:r>
      <w:r>
        <w:rPr>
          <w:rFonts w:hint="eastAsia"/>
        </w:rPr>
        <w:t xml:space="preserve">を支給することがある(別途定める)。</w:t>
      </w:r>
    </w:p>
    <w:bookmarkEnd w:id="20"/>
    <w:bookmarkEnd w:id="21"/>
    <w:bookmarkStart w:id="24" w:name="第4章-退職金共済等"/>
    <w:p>
      <w:pPr>
        <w:pStyle w:val="Heading2"/>
      </w:pPr>
      <w:r>
        <w:rPr>
          <w:rFonts w:hint="eastAsia"/>
        </w:rPr>
        <w:t xml:space="preserve">第4章</w:t>
      </w:r>
      <w:r>
        <w:t xml:space="preserve"> </w:t>
      </w:r>
      <w:r>
        <w:rPr>
          <w:rFonts w:hint="eastAsia"/>
        </w:rPr>
        <w:t xml:space="preserve">退職金共済等</w:t>
      </w:r>
    </w:p>
    <w:bookmarkStart w:id="22" w:name="第10条中小企業退職金共済との関係"/>
    <w:p>
      <w:pPr>
        <w:pStyle w:val="Heading3"/>
      </w:pPr>
      <w:r>
        <w:rPr>
          <w:rFonts w:hint="eastAsia"/>
        </w:rPr>
        <w:t xml:space="preserve">第10条(中小企業退職金共済との関係)</w:t>
      </w:r>
    </w:p>
    <w:p>
      <w:pPr>
        <w:pStyle w:val="Compact"/>
        <w:numPr>
          <w:ilvl w:val="0"/>
          <w:numId w:val="1021"/>
        </w:numPr>
      </w:pPr>
      <w:r>
        <w:rPr>
          <w:rFonts w:hint="eastAsia"/>
        </w:rPr>
        <w:t xml:space="preserve">会社は、</w:t>
      </w:r>
      <w:r>
        <w:rPr>
          <w:rFonts w:hint="eastAsia"/>
          <w:b/>
          <w:bCs/>
        </w:rPr>
        <w:t xml:space="preserve">中小企業退職金共済法</w:t>
      </w:r>
      <w:r>
        <w:rPr>
          <w:rFonts w:hint="eastAsia"/>
        </w:rPr>
        <w:t xml:space="preserve">に基づく中小企業退職金共済(以下「中退共」という。)に加入することができる。</w:t>
      </w:r>
    </w:p>
    <w:p>
      <w:pPr>
        <w:pStyle w:val="Compact"/>
        <w:numPr>
          <w:ilvl w:val="0"/>
          <w:numId w:val="1021"/>
        </w:numPr>
      </w:pPr>
      <w:r>
        <w:rPr>
          <w:rFonts w:hint="eastAsia"/>
        </w:rPr>
        <w:t xml:space="preserve">会社が中退共に加入している場合、退職金の取扱いは次のとおりとする。</w:t>
      </w:r>
    </w:p>
    <w:p>
      <w:pPr>
        <w:pStyle w:val="Compact"/>
        <w:numPr>
          <w:ilvl w:val="0"/>
          <w:numId w:val="1022"/>
        </w:numPr>
      </w:pPr>
      <w:r>
        <w:rPr>
          <w:rFonts w:hint="eastAsia"/>
        </w:rPr>
        <w:t xml:space="preserve">退職時、従業員が中退共から受領する退職金額が本規程に基づく退職金額</w:t>
      </w:r>
      <w:r>
        <w:rPr>
          <w:rFonts w:hint="eastAsia"/>
          <w:b/>
          <w:bCs/>
        </w:rPr>
        <w:t xml:space="preserve">以上</w:t>
      </w:r>
      <w:r>
        <w:rPr>
          <w:rFonts w:hint="eastAsia"/>
        </w:rPr>
        <w:t xml:space="preserve">である場合、本規程に基づく退職金は支給しない(中退共からの受領のみ)。</w:t>
      </w:r>
    </w:p>
    <w:p>
      <w:pPr>
        <w:pStyle w:val="Compact"/>
        <w:numPr>
          <w:ilvl w:val="0"/>
          <w:numId w:val="1022"/>
        </w:numPr>
      </w:pPr>
      <w:r>
        <w:rPr>
          <w:rFonts w:hint="eastAsia"/>
        </w:rPr>
        <w:t xml:space="preserve">退職時、従業員が中退共から受領する退職金額が本規程に基づく退職金額</w:t>
      </w:r>
      <w:r>
        <w:rPr>
          <w:rFonts w:hint="eastAsia"/>
          <w:b/>
          <w:bCs/>
        </w:rPr>
        <w:t xml:space="preserve">未満</w:t>
      </w:r>
      <w:r>
        <w:rPr>
          <w:rFonts w:hint="eastAsia"/>
        </w:rPr>
        <w:t xml:space="preserve">である場合、その差額を会社が直接支給する。</w:t>
      </w:r>
    </w:p>
    <w:p>
      <w:pPr>
        <w:pStyle w:val="Compact"/>
        <w:numPr>
          <w:ilvl w:val="0"/>
          <w:numId w:val="1023"/>
        </w:numPr>
      </w:pPr>
      <w:r>
        <w:rPr>
          <w:rFonts w:hint="eastAsia"/>
        </w:rPr>
        <w:t xml:space="preserve">中退共の掛金は、全額会社の負担とする。</w:t>
      </w:r>
    </w:p>
    <w:p>
      <w:pPr>
        <w:pStyle w:val="Compact"/>
        <w:numPr>
          <w:ilvl w:val="0"/>
          <w:numId w:val="1023"/>
        </w:numPr>
      </w:pPr>
      <w:r>
        <w:rPr>
          <w:rFonts w:hint="eastAsia"/>
        </w:rPr>
        <w:t xml:space="preserve">中退共の脱退手当金の取扱いは、中小企業退職金共済法その他関係法令に従う。</w:t>
      </w:r>
    </w:p>
    <w:bookmarkEnd w:id="22"/>
    <w:bookmarkStart w:id="23" w:name="第11条確定拠出年金等との関係"/>
    <w:p>
      <w:pPr>
        <w:pStyle w:val="Heading3"/>
      </w:pPr>
      <w:r>
        <w:rPr>
          <w:rFonts w:hint="eastAsia"/>
        </w:rPr>
        <w:t xml:space="preserve">第11条(確定拠出年金等との関係)</w:t>
      </w:r>
    </w:p>
    <w:p>
      <w:pPr>
        <w:pStyle w:val="FirstParagraph"/>
      </w:pPr>
      <w:r>
        <w:rPr>
          <w:rFonts w:hint="eastAsia"/>
        </w:rPr>
        <w:t xml:space="preserve">(該当時に使用)</w:t>
      </w:r>
    </w:p>
    <w:p>
      <w:pPr>
        <w:pStyle w:val="Compact"/>
        <w:numPr>
          <w:ilvl w:val="0"/>
          <w:numId w:val="1024"/>
        </w:numPr>
      </w:pPr>
      <w:r>
        <w:rPr>
          <w:rFonts w:hint="eastAsia"/>
        </w:rPr>
        <w:t xml:space="preserve">会社が</w:t>
      </w:r>
      <w:r>
        <w:rPr>
          <w:rFonts w:hint="eastAsia"/>
          <w:b/>
          <w:bCs/>
        </w:rPr>
        <w:t xml:space="preserve">確定拠出年金</w:t>
      </w:r>
      <w:r>
        <w:rPr>
          <w:rFonts w:hint="eastAsia"/>
        </w:rPr>
        <w:t xml:space="preserve">(企業型DC)・</w:t>
      </w:r>
      <w:r>
        <w:rPr>
          <w:rFonts w:hint="eastAsia"/>
          <w:b/>
          <w:bCs/>
        </w:rPr>
        <w:t xml:space="preserve">確定給付企業年金</w:t>
      </w:r>
      <w:r>
        <w:rPr>
          <w:rFonts w:hint="eastAsia"/>
        </w:rPr>
        <w:t xml:space="preserve">等の制度を導入している場合、その制度から従業員が受領する給付額と本規程に基づく退職金との関係は、別途定めるところによる。</w:t>
      </w:r>
    </w:p>
    <w:p>
      <w:pPr>
        <w:pStyle w:val="Compact"/>
        <w:numPr>
          <w:ilvl w:val="0"/>
          <w:numId w:val="1024"/>
        </w:numPr>
      </w:pPr>
      <w:r>
        <w:rPr>
          <w:rFonts w:hint="eastAsia"/>
        </w:rPr>
        <w:t xml:space="preserve">会社が</w:t>
      </w:r>
      <w:r>
        <w:rPr>
          <w:rFonts w:hint="eastAsia"/>
          <w:b/>
          <w:bCs/>
        </w:rPr>
        <w:t xml:space="preserve">退職金前払い制度</w:t>
      </w:r>
      <w:r>
        <w:rPr>
          <w:rFonts w:hint="eastAsia"/>
        </w:rPr>
        <w:t xml:space="preserve">を導入している場合、その対象者には本規程に基づく退職金を支給しない。</w:t>
      </w:r>
    </w:p>
    <w:bookmarkEnd w:id="23"/>
    <w:bookmarkEnd w:id="24"/>
    <w:bookmarkStart w:id="30" w:name="第5章-雑則"/>
    <w:p>
      <w:pPr>
        <w:pStyle w:val="Heading2"/>
      </w:pPr>
      <w:r>
        <w:rPr>
          <w:rFonts w:hint="eastAsia"/>
        </w:rPr>
        <w:t xml:space="preserve">第5章</w:t>
      </w:r>
      <w:r>
        <w:t xml:space="preserve"> </w:t>
      </w:r>
      <w:r>
        <w:rPr>
          <w:rFonts w:hint="eastAsia"/>
        </w:rPr>
        <w:t xml:space="preserve">雑則</w:t>
      </w:r>
    </w:p>
    <w:bookmarkStart w:id="25" w:name="第12条退職所得の受給に関する申告書"/>
    <w:p>
      <w:pPr>
        <w:pStyle w:val="Heading3"/>
      </w:pPr>
      <w:r>
        <w:rPr>
          <w:rFonts w:hint="eastAsia"/>
        </w:rPr>
        <w:t xml:space="preserve">第12条(退職所得の受給に関する申告書)</w:t>
      </w:r>
    </w:p>
    <w:p>
      <w:pPr>
        <w:pStyle w:val="FirstParagraph"/>
      </w:pPr>
      <w:r>
        <w:rPr>
          <w:rFonts w:hint="eastAsia"/>
        </w:rPr>
        <w:t xml:space="preserve">退職金支給対象者は、退職金の支給を受ける際、所得税法の規定に基づき、「退職所得の受給に関する申告書」を会社に提出するものとする。</w:t>
      </w:r>
    </w:p>
    <w:bookmarkEnd w:id="25"/>
    <w:bookmarkStart w:id="26" w:name="第13条個人情報の取扱い"/>
    <w:p>
      <w:pPr>
        <w:pStyle w:val="Heading3"/>
      </w:pPr>
      <w:r>
        <w:rPr>
          <w:rFonts w:hint="eastAsia"/>
        </w:rPr>
        <w:t xml:space="preserve">第13条(個人情報の取扱い)</w:t>
      </w:r>
    </w:p>
    <w:p>
      <w:pPr>
        <w:pStyle w:val="FirstParagraph"/>
      </w:pPr>
      <w:r>
        <w:rPr>
          <w:rFonts w:hint="eastAsia"/>
        </w:rPr>
        <w:t xml:space="preserve">会社は、本規程に基づく退職金の支給に際し取得した従業員および遺族の個人情報を、個人情報保護法その他の関係法令を遵守し、適切に取り扱う。</w:t>
      </w:r>
    </w:p>
    <w:bookmarkEnd w:id="26"/>
    <w:bookmarkStart w:id="27" w:name="第14条規程の変更"/>
    <w:p>
      <w:pPr>
        <w:pStyle w:val="Heading3"/>
      </w:pPr>
      <w:r>
        <w:rPr>
          <w:rFonts w:hint="eastAsia"/>
        </w:rPr>
        <w:t xml:space="preserve">第14条(規程の変更)</w:t>
      </w:r>
    </w:p>
    <w:p>
      <w:pPr>
        <w:pStyle w:val="Compact"/>
        <w:numPr>
          <w:ilvl w:val="0"/>
          <w:numId w:val="1025"/>
        </w:numPr>
      </w:pPr>
      <w:r>
        <w:rPr>
          <w:rFonts w:hint="eastAsia"/>
        </w:rPr>
        <w:t xml:space="preserve">本規程の変更は、労働基準法第90条(意見聴取)・第89条(届出)・第106条(周知)その他関係法令を遵守し、適正な手続を経て行う。</w:t>
      </w:r>
    </w:p>
    <w:p>
      <w:pPr>
        <w:pStyle w:val="Compact"/>
        <w:numPr>
          <w:ilvl w:val="0"/>
          <w:numId w:val="1025"/>
        </w:numPr>
      </w:pPr>
      <w:r>
        <w:rPr>
          <w:rFonts w:hint="eastAsia"/>
        </w:rPr>
        <w:t xml:space="preserve">本規程の変更が労働者にとって</w:t>
      </w:r>
      <w:r>
        <w:rPr>
          <w:rFonts w:hint="eastAsia"/>
          <w:b/>
          <w:bCs/>
        </w:rPr>
        <w:t xml:space="preserve">不利益変更</w:t>
      </w:r>
      <w:r>
        <w:rPr>
          <w:rFonts w:hint="eastAsia"/>
        </w:rPr>
        <w:t xml:space="preserve">となる場合、労働契約法第9条・第10条に基づき、変更の合理性・必要性等を慎重に判断する。</w:t>
      </w:r>
    </w:p>
    <w:p>
      <w:pPr>
        <w:pStyle w:val="Compact"/>
        <w:numPr>
          <w:ilvl w:val="0"/>
          <w:numId w:val="1025"/>
        </w:numPr>
      </w:pPr>
      <w:r>
        <w:rPr>
          <w:rFonts w:hint="eastAsia"/>
        </w:rPr>
        <w:t xml:space="preserve">変更内容は、施行日から[1か月前]までに、全従業員に対し書面または電磁的方法により周知する。</w:t>
      </w:r>
    </w:p>
    <w:bookmarkEnd w:id="27"/>
    <w:bookmarkStart w:id="28" w:name="第15条規程に定めのない事項"/>
    <w:p>
      <w:pPr>
        <w:pStyle w:val="Heading3"/>
      </w:pPr>
      <w:r>
        <w:rPr>
          <w:rFonts w:hint="eastAsia"/>
        </w:rPr>
        <w:t xml:space="preserve">第15条(規程に定めのない事項)</w:t>
      </w:r>
    </w:p>
    <w:p>
      <w:pPr>
        <w:pStyle w:val="FirstParagraph"/>
      </w:pPr>
      <w:r>
        <w:rPr>
          <w:rFonts w:hint="eastAsia"/>
        </w:rPr>
        <w:t xml:space="preserve">本規程に定めのない事項については、就業規則、労働関係法令その他関係法令の定めるところによる。</w:t>
      </w:r>
    </w:p>
    <w:bookmarkEnd w:id="28"/>
    <w:bookmarkStart w:id="29" w:name="附則"/>
    <w:p>
      <w:pPr>
        <w:pStyle w:val="Heading3"/>
      </w:pPr>
      <w:r>
        <w:rPr>
          <w:rFonts w:hint="eastAsia"/>
        </w:rPr>
        <w:t xml:space="preserve">附則</w:t>
      </w:r>
    </w:p>
    <w:p>
      <w:pPr>
        <w:pStyle w:val="Compact"/>
        <w:numPr>
          <w:ilvl w:val="0"/>
          <w:numId w:val="1026"/>
        </w:numPr>
      </w:pPr>
      <w:r>
        <w:rPr>
          <w:rFonts w:hint="eastAsia"/>
        </w:rPr>
        <w:t xml:space="preserve">本規程は、</w:t>
      </w:r>
      <w:r>
        <w:rPr>
          <w:rFonts w:hint="eastAsia"/>
          <w:b/>
          <w:bCs/>
        </w:rPr>
        <w:t xml:space="preserve">[YYYY年MM月DD日]</w:t>
      </w:r>
      <w:r>
        <w:rPr>
          <w:rFonts w:hint="eastAsia"/>
        </w:rPr>
        <w:t xml:space="preserve">から施行する。</w:t>
      </w:r>
    </w:p>
    <w:p>
      <w:pPr>
        <w:pStyle w:val="Compact"/>
        <w:numPr>
          <w:ilvl w:val="0"/>
          <w:numId w:val="1026"/>
        </w:numPr>
      </w:pPr>
      <w:r>
        <w:rPr>
          <w:rFonts w:hint="eastAsia"/>
        </w:rPr>
        <w:t xml:space="preserve">本規程施行前から在籍している従業員の勤続年数は、会社への入社日から起算する(本規程施行前の期間も含めて計算する)。</w:t>
      </w:r>
    </w:p>
    <w:p>
      <w:pPr>
        <w:pStyle w:val="Compact"/>
        <w:numPr>
          <w:ilvl w:val="0"/>
          <w:numId w:val="1026"/>
        </w:numPr>
      </w:pPr>
      <w:r>
        <w:rPr>
          <w:rFonts w:hint="eastAsia"/>
        </w:rPr>
        <w:t xml:space="preserve">本規程の施行に伴い、従来の退職金に関する取扱い(慣行・覚書等を含む)は廃止する。ただし、本規程の施行により従業員が不利益を受ける場合、別途の経過措置を定めるものとする。</w:t>
      </w:r>
    </w:p>
    <w:p>
      <w:pPr>
        <w:pStyle w:val="FirstParagraph"/>
      </w:pPr>
      <w:r>
        <w:rPr>
          <w:rFonts w:hint="eastAsia"/>
        </w:rPr>
        <w:t xml:space="preserve">[YYYY年MM月DD日]制定</w:t>
      </w:r>
      <w:r>
        <w:t xml:space="preserve"> </w:t>
      </w:r>
      <w:r>
        <w:rPr>
          <w:rFonts w:hint="eastAsia"/>
        </w:rPr>
        <w:t xml:space="preserve">[会社の正式名称]</w:t>
      </w:r>
      <w:r>
        <w:t xml:space="preserve"> </w:t>
      </w:r>
      <w:r>
        <w:rPr>
          <w:rFonts w:hint="eastAsia"/>
        </w:rPr>
        <w:t xml:space="preserve">代表取締役</w:t>
      </w:r>
      <w:r>
        <w:t xml:space="preserve"> </w:t>
      </w:r>
      <w:r>
        <w:rPr>
          <w:rFonts w:hint="eastAsia"/>
        </w:rPr>
        <w:t xml:space="preserve">[代表者氏名]</w:t>
      </w:r>
    </w:p>
    <w:p>
      <w:r>
        <w:pict>
          <v:rect style="width:0;height:1.5pt" o:hralign="center" o:hrstd="t" o:hr="t"/>
        </w:pict>
      </w:r>
    </w:p>
    <w:bookmarkEnd w:id="29"/>
    <w:bookmarkEnd w:id="30"/>
    <w:bookmarkStart w:id="32" w:name="別表第1勤続年数別支給率基本給連動型4-a"/>
    <w:p>
      <w:pPr>
        <w:pStyle w:val="Heading2"/>
      </w:pPr>
      <w:r>
        <w:rPr>
          <w:rFonts w:hint="eastAsia"/>
        </w:rPr>
        <w:t xml:space="preserve">別表第1:勤続年数別支給率(基本給連動型・4-A)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勤続年数</w:t>
            </w:r>
          </w:p>
        </w:tc>
        <w:tc>
          <w:tcPr/>
          <w:p>
            <w:pPr>
              <w:pStyle w:val="Compact"/>
            </w:pPr>
            <w:r>
              <w:rPr>
                <w:rFonts w:hint="eastAsia"/>
              </w:rPr>
              <w:t xml:space="preserve">支給率</w:t>
            </w:r>
          </w:p>
        </w:tc>
      </w:tr>
      <w:tr>
        <w:tc>
          <w:tcPr/>
          <w:p>
            <w:pPr>
              <w:pStyle w:val="Compact"/>
            </w:pPr>
            <w:r>
              <w:rPr>
                <w:rFonts w:hint="eastAsia"/>
              </w:rPr>
              <w:t xml:space="preserve">3年未満</w:t>
            </w:r>
          </w:p>
        </w:tc>
        <w:tc>
          <w:tcPr/>
          <w:p>
            <w:pPr>
              <w:pStyle w:val="Compact"/>
            </w:pPr>
            <w:r>
              <w:rPr>
                <w:rFonts w:hint="eastAsia"/>
              </w:rPr>
              <w:t xml:space="preserve">支給なし</w:t>
            </w:r>
          </w:p>
        </w:tc>
      </w:tr>
      <w:tr>
        <w:tc>
          <w:tcPr/>
          <w:p>
            <w:pPr>
              <w:pStyle w:val="Compact"/>
            </w:pPr>
            <w:r>
              <w:rPr>
                <w:rFonts w:hint="eastAsia"/>
              </w:rPr>
              <w:t xml:space="preserve">3年以上5年未満</w:t>
            </w:r>
          </w:p>
        </w:tc>
        <w:tc>
          <w:tcPr/>
          <w:p>
            <w:pPr>
              <w:pStyle w:val="Compact"/>
            </w:pPr>
            <w:r>
              <w:t xml:space="preserve">1.0</w:t>
            </w:r>
          </w:p>
        </w:tc>
      </w:tr>
      <w:tr>
        <w:tc>
          <w:tcPr/>
          <w:p>
            <w:pPr>
              <w:pStyle w:val="Compact"/>
            </w:pPr>
            <w:r>
              <w:rPr>
                <w:rFonts w:hint="eastAsia"/>
              </w:rPr>
              <w:t xml:space="preserve">5年以上10年未満</w:t>
            </w:r>
          </w:p>
        </w:tc>
        <w:tc>
          <w:tcPr/>
          <w:p>
            <w:pPr>
              <w:pStyle w:val="Compact"/>
            </w:pPr>
            <w:r>
              <w:t xml:space="preserve">5.0</w:t>
            </w:r>
          </w:p>
        </w:tc>
      </w:tr>
      <w:tr>
        <w:tc>
          <w:tcPr/>
          <w:p>
            <w:pPr>
              <w:pStyle w:val="Compact"/>
            </w:pPr>
            <w:r>
              <w:rPr>
                <w:rFonts w:hint="eastAsia"/>
              </w:rPr>
              <w:t xml:space="preserve">10年以上15年未満</w:t>
            </w:r>
          </w:p>
        </w:tc>
        <w:tc>
          <w:tcPr/>
          <w:p>
            <w:pPr>
              <w:pStyle w:val="Compact"/>
            </w:pPr>
            <w:r>
              <w:t xml:space="preserve">12.0</w:t>
            </w:r>
          </w:p>
        </w:tc>
      </w:tr>
      <w:tr>
        <w:tc>
          <w:tcPr/>
          <w:p>
            <w:pPr>
              <w:pStyle w:val="Compact"/>
            </w:pPr>
            <w:r>
              <w:rPr>
                <w:rFonts w:hint="eastAsia"/>
              </w:rPr>
              <w:t xml:space="preserve">15年以上20年未満</w:t>
            </w:r>
          </w:p>
        </w:tc>
        <w:tc>
          <w:tcPr/>
          <w:p>
            <w:pPr>
              <w:pStyle w:val="Compact"/>
            </w:pPr>
            <w:r>
              <w:t xml:space="preserve">22.0</w:t>
            </w:r>
          </w:p>
        </w:tc>
      </w:tr>
      <w:tr>
        <w:tc>
          <w:tcPr/>
          <w:p>
            <w:pPr>
              <w:pStyle w:val="Compact"/>
            </w:pPr>
            <w:r>
              <w:rPr>
                <w:rFonts w:hint="eastAsia"/>
              </w:rPr>
              <w:t xml:space="preserve">20年以上25年未満</w:t>
            </w:r>
          </w:p>
        </w:tc>
        <w:tc>
          <w:tcPr/>
          <w:p>
            <w:pPr>
              <w:pStyle w:val="Compact"/>
            </w:pPr>
            <w:r>
              <w:t xml:space="preserve">35.0</w:t>
            </w:r>
          </w:p>
        </w:tc>
      </w:tr>
      <w:tr>
        <w:tc>
          <w:tcPr/>
          <w:p>
            <w:pPr>
              <w:pStyle w:val="Compact"/>
            </w:pPr>
            <w:r>
              <w:rPr>
                <w:rFonts w:hint="eastAsia"/>
              </w:rPr>
              <w:t xml:space="preserve">25年以上30年未満</w:t>
            </w:r>
          </w:p>
        </w:tc>
        <w:tc>
          <w:tcPr/>
          <w:p>
            <w:pPr>
              <w:pStyle w:val="Compact"/>
            </w:pPr>
            <w:r>
              <w:t xml:space="preserve">50.0</w:t>
            </w:r>
          </w:p>
        </w:tc>
      </w:tr>
      <w:tr>
        <w:tc>
          <w:tcPr/>
          <w:p>
            <w:pPr>
              <w:pStyle w:val="Compact"/>
            </w:pPr>
            <w:r>
              <w:rPr>
                <w:rFonts w:hint="eastAsia"/>
              </w:rPr>
              <w:t xml:space="preserve">30年以上35年未満</w:t>
            </w:r>
          </w:p>
        </w:tc>
        <w:tc>
          <w:tcPr/>
          <w:p>
            <w:pPr>
              <w:pStyle w:val="Compact"/>
            </w:pPr>
            <w:r>
              <w:t xml:space="preserve">65.0</w:t>
            </w:r>
          </w:p>
        </w:tc>
      </w:tr>
      <w:tr>
        <w:tc>
          <w:tcPr/>
          <w:p>
            <w:pPr>
              <w:pStyle w:val="Compact"/>
            </w:pPr>
            <w:r>
              <w:rPr>
                <w:rFonts w:hint="eastAsia"/>
              </w:rPr>
              <w:t xml:space="preserve">35年以上40年未満</w:t>
            </w:r>
          </w:p>
        </w:tc>
        <w:tc>
          <w:tcPr/>
          <w:p>
            <w:pPr>
              <w:pStyle w:val="Compact"/>
            </w:pPr>
            <w:r>
              <w:t xml:space="preserve">80.0</w:t>
            </w:r>
          </w:p>
        </w:tc>
      </w:tr>
      <w:tr>
        <w:tc>
          <w:tcPr/>
          <w:p>
            <w:pPr>
              <w:pStyle w:val="Compact"/>
            </w:pPr>
            <w:r>
              <w:rPr>
                <w:rFonts w:hint="eastAsia"/>
              </w:rPr>
              <w:t xml:space="preserve">40年以上</w:t>
            </w:r>
          </w:p>
        </w:tc>
        <w:tc>
          <w:tcPr/>
          <w:p>
            <w:pPr>
              <w:pStyle w:val="Compact"/>
            </w:pPr>
            <w:r>
              <w:t xml:space="preserve">100.0</w:t>
            </w:r>
          </w:p>
        </w:tc>
      </w:tr>
    </w:tbl>
    <w:p>
      <w:pPr>
        <w:pStyle w:val="BodyText"/>
      </w:pPr>
      <w:r>
        <w:rPr>
          <w:rFonts w:hint="eastAsia"/>
        </w:rPr>
        <w:t xml:space="preserve">(上記は中堅・中小企業の標準的水準を示す参考値・各社の実情に応じて調整してください)</w:t>
      </w:r>
    </w:p>
    <w:bookmarkStart w:id="31" w:name="計算例基本給連動型"/>
    <w:p>
      <w:pPr>
        <w:pStyle w:val="Heading3"/>
      </w:pPr>
      <w:r>
        <w:rPr>
          <w:rFonts w:hint="eastAsia"/>
        </w:rPr>
        <w:t xml:space="preserve">計算例(基本給連動型)</w:t>
      </w:r>
    </w:p>
    <w:p>
      <w:pPr>
        <w:pStyle w:val="Compact"/>
        <w:numPr>
          <w:ilvl w:val="0"/>
          <w:numId w:val="1027"/>
        </w:numPr>
      </w:pPr>
      <w:r>
        <w:rPr>
          <w:rFonts w:hint="eastAsia"/>
        </w:rPr>
        <w:t xml:space="preserve">退職時基本給:30万円</w:t>
      </w:r>
    </w:p>
    <w:p>
      <w:pPr>
        <w:pStyle w:val="Compact"/>
        <w:numPr>
          <w:ilvl w:val="0"/>
          <w:numId w:val="1027"/>
        </w:numPr>
      </w:pPr>
      <w:r>
        <w:rPr>
          <w:rFonts w:hint="eastAsia"/>
        </w:rPr>
        <w:t xml:space="preserve">勤続25年(支給率50.0)</w:t>
      </w:r>
    </w:p>
    <w:p>
      <w:pPr>
        <w:pStyle w:val="Compact"/>
        <w:numPr>
          <w:ilvl w:val="0"/>
          <w:numId w:val="1027"/>
        </w:numPr>
      </w:pPr>
      <w:r>
        <w:rPr>
          <w:rFonts w:hint="eastAsia"/>
        </w:rPr>
        <w:t xml:space="preserve">自己都合退職(係数0.7)</w:t>
      </w:r>
    </w:p>
    <w:p>
      <w:pPr>
        <w:pStyle w:val="Compact"/>
        <w:numPr>
          <w:ilvl w:val="0"/>
          <w:numId w:val="1027"/>
        </w:numPr>
      </w:pPr>
      <w:r>
        <w:t xml:space="preserve">→ </w:t>
      </w:r>
      <w:r>
        <w:rPr>
          <w:rFonts w:hint="eastAsia"/>
        </w:rPr>
        <w:t xml:space="preserve">30万円</w:t>
      </w:r>
      <w:r>
        <w:t xml:space="preserve"> × 50.0 × 0.7 =</w:t>
      </w:r>
      <w:r>
        <w:t xml:space="preserve"> </w:t>
      </w:r>
      <w:r>
        <w:rPr>
          <w:rFonts w:hint="eastAsia"/>
          <w:b/>
          <w:bCs/>
        </w:rPr>
        <w:t xml:space="preserve">1,050万円</w:t>
      </w:r>
    </w:p>
    <w:p>
      <w:r>
        <w:pict>
          <v:rect style="width:0;height:1.5pt" o:hralign="center" o:hrstd="t" o:hr="t"/>
        </w:pict>
      </w:r>
    </w:p>
    <w:bookmarkEnd w:id="31"/>
    <w:bookmarkEnd w:id="32"/>
    <w:bookmarkStart w:id="35" w:name="別表第2年間ポイントポイント制4-b"/>
    <w:p>
      <w:pPr>
        <w:pStyle w:val="Heading2"/>
      </w:pPr>
      <w:r>
        <w:rPr>
          <w:rFonts w:hint="eastAsia"/>
        </w:rPr>
        <w:t xml:space="preserve">別表第2:年間ポイント(ポイント制・4-B)</w:t>
      </w:r>
    </w:p>
    <w:bookmarkStart w:id="33" w:name="等級別年間ポイント"/>
    <w:p>
      <w:pPr>
        <w:pStyle w:val="Heading3"/>
      </w:pPr>
      <w:r>
        <w:rPr>
          <w:rFonts w:hint="eastAsia"/>
        </w:rPr>
        <w:t xml:space="preserve">等級別年間ポイント</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等級</w:t>
            </w:r>
          </w:p>
        </w:tc>
        <w:tc>
          <w:tcPr/>
          <w:p>
            <w:pPr>
              <w:pStyle w:val="Compact"/>
            </w:pPr>
            <w:r>
              <w:rPr>
                <w:rFonts w:hint="eastAsia"/>
              </w:rPr>
              <w:t xml:space="preserve">役職目安</w:t>
            </w:r>
          </w:p>
        </w:tc>
        <w:tc>
          <w:tcPr/>
          <w:p>
            <w:pPr>
              <w:pStyle w:val="Compact"/>
            </w:pPr>
            <w:r>
              <w:rPr>
                <w:rFonts w:hint="eastAsia"/>
              </w:rPr>
              <w:t xml:space="preserve">年間ポイント</w:t>
            </w:r>
          </w:p>
        </w:tc>
      </w:tr>
      <w:tr>
        <w:tc>
          <w:tcPr/>
          <w:p>
            <w:pPr>
              <w:pStyle w:val="Compact"/>
            </w:pPr>
            <w:r>
              <w:rPr>
                <w:rFonts w:hint="eastAsia"/>
              </w:rPr>
              <w:t xml:space="preserve">1級</w:t>
            </w:r>
          </w:p>
        </w:tc>
        <w:tc>
          <w:tcPr/>
          <w:p>
            <w:pPr>
              <w:pStyle w:val="Compact"/>
            </w:pPr>
            <w:r>
              <w:rPr>
                <w:rFonts w:hint="eastAsia"/>
              </w:rPr>
              <w:t xml:space="preserve">一般社員(若手)</w:t>
            </w:r>
          </w:p>
        </w:tc>
        <w:tc>
          <w:tcPr/>
          <w:p>
            <w:pPr>
              <w:pStyle w:val="Compact"/>
            </w:pPr>
            <w:r>
              <w:t xml:space="preserve">10</w:t>
            </w:r>
          </w:p>
        </w:tc>
      </w:tr>
      <w:tr>
        <w:tc>
          <w:tcPr/>
          <w:p>
            <w:pPr>
              <w:pStyle w:val="Compact"/>
            </w:pPr>
            <w:r>
              <w:rPr>
                <w:rFonts w:hint="eastAsia"/>
              </w:rPr>
              <w:t xml:space="preserve">2級</w:t>
            </w:r>
          </w:p>
        </w:tc>
        <w:tc>
          <w:tcPr/>
          <w:p>
            <w:pPr>
              <w:pStyle w:val="Compact"/>
            </w:pPr>
            <w:r>
              <w:rPr>
                <w:rFonts w:hint="eastAsia"/>
              </w:rPr>
              <w:t xml:space="preserve">一般社員(中堅)</w:t>
            </w:r>
          </w:p>
        </w:tc>
        <w:tc>
          <w:tcPr/>
          <w:p>
            <w:pPr>
              <w:pStyle w:val="Compact"/>
            </w:pPr>
            <w:r>
              <w:t xml:space="preserve">15</w:t>
            </w:r>
          </w:p>
        </w:tc>
      </w:tr>
      <w:tr>
        <w:tc>
          <w:tcPr/>
          <w:p>
            <w:pPr>
              <w:pStyle w:val="Compact"/>
            </w:pPr>
            <w:r>
              <w:rPr>
                <w:rFonts w:hint="eastAsia"/>
              </w:rPr>
              <w:t xml:space="preserve">3級</w:t>
            </w:r>
          </w:p>
        </w:tc>
        <w:tc>
          <w:tcPr/>
          <w:p>
            <w:pPr>
              <w:pStyle w:val="Compact"/>
            </w:pPr>
            <w:r>
              <w:rPr>
                <w:rFonts w:hint="eastAsia"/>
              </w:rPr>
              <w:t xml:space="preserve">主任</w:t>
            </w:r>
          </w:p>
        </w:tc>
        <w:tc>
          <w:tcPr/>
          <w:p>
            <w:pPr>
              <w:pStyle w:val="Compact"/>
            </w:pPr>
            <w:r>
              <w:t xml:space="preserve">25</w:t>
            </w:r>
          </w:p>
        </w:tc>
      </w:tr>
      <w:tr>
        <w:tc>
          <w:tcPr/>
          <w:p>
            <w:pPr>
              <w:pStyle w:val="Compact"/>
            </w:pPr>
            <w:r>
              <w:rPr>
                <w:rFonts w:hint="eastAsia"/>
              </w:rPr>
              <w:t xml:space="preserve">4級</w:t>
            </w:r>
          </w:p>
        </w:tc>
        <w:tc>
          <w:tcPr/>
          <w:p>
            <w:pPr>
              <w:pStyle w:val="Compact"/>
            </w:pPr>
            <w:r>
              <w:rPr>
                <w:rFonts w:hint="eastAsia"/>
              </w:rPr>
              <w:t xml:space="preserve">課長代理</w:t>
            </w:r>
          </w:p>
        </w:tc>
        <w:tc>
          <w:tcPr/>
          <w:p>
            <w:pPr>
              <w:pStyle w:val="Compact"/>
            </w:pPr>
            <w:r>
              <w:t xml:space="preserve">35</w:t>
            </w:r>
          </w:p>
        </w:tc>
      </w:tr>
      <w:tr>
        <w:tc>
          <w:tcPr/>
          <w:p>
            <w:pPr>
              <w:pStyle w:val="Compact"/>
            </w:pPr>
            <w:r>
              <w:rPr>
                <w:rFonts w:hint="eastAsia"/>
              </w:rPr>
              <w:t xml:space="preserve">5級</w:t>
            </w:r>
          </w:p>
        </w:tc>
        <w:tc>
          <w:tcPr/>
          <w:p>
            <w:pPr>
              <w:pStyle w:val="Compact"/>
            </w:pPr>
            <w:r>
              <w:rPr>
                <w:rFonts w:hint="eastAsia"/>
              </w:rPr>
              <w:t xml:space="preserve">課長</w:t>
            </w:r>
          </w:p>
        </w:tc>
        <w:tc>
          <w:tcPr/>
          <w:p>
            <w:pPr>
              <w:pStyle w:val="Compact"/>
            </w:pPr>
            <w:r>
              <w:t xml:space="preserve">45</w:t>
            </w:r>
          </w:p>
        </w:tc>
      </w:tr>
      <w:tr>
        <w:tc>
          <w:tcPr/>
          <w:p>
            <w:pPr>
              <w:pStyle w:val="Compact"/>
            </w:pPr>
            <w:r>
              <w:rPr>
                <w:rFonts w:hint="eastAsia"/>
              </w:rPr>
              <w:t xml:space="preserve">6級</w:t>
            </w:r>
          </w:p>
        </w:tc>
        <w:tc>
          <w:tcPr/>
          <w:p>
            <w:pPr>
              <w:pStyle w:val="Compact"/>
            </w:pPr>
            <w:r>
              <w:rPr>
                <w:rFonts w:hint="eastAsia"/>
              </w:rPr>
              <w:t xml:space="preserve">部長代理</w:t>
            </w:r>
          </w:p>
        </w:tc>
        <w:tc>
          <w:tcPr/>
          <w:p>
            <w:pPr>
              <w:pStyle w:val="Compact"/>
            </w:pPr>
            <w:r>
              <w:t xml:space="preserve">55</w:t>
            </w:r>
          </w:p>
        </w:tc>
      </w:tr>
      <w:tr>
        <w:tc>
          <w:tcPr/>
          <w:p>
            <w:pPr>
              <w:pStyle w:val="Compact"/>
            </w:pPr>
            <w:r>
              <w:rPr>
                <w:rFonts w:hint="eastAsia"/>
              </w:rPr>
              <w:t xml:space="preserve">7級</w:t>
            </w:r>
          </w:p>
        </w:tc>
        <w:tc>
          <w:tcPr/>
          <w:p>
            <w:pPr>
              <w:pStyle w:val="Compact"/>
            </w:pPr>
            <w:r>
              <w:rPr>
                <w:rFonts w:hint="eastAsia"/>
              </w:rPr>
              <w:t xml:space="preserve">部長</w:t>
            </w:r>
          </w:p>
        </w:tc>
        <w:tc>
          <w:tcPr/>
          <w:p>
            <w:pPr>
              <w:pStyle w:val="Compact"/>
            </w:pPr>
            <w:r>
              <w:t xml:space="preserve">70</w:t>
            </w:r>
          </w:p>
        </w:tc>
      </w:tr>
      <w:tr>
        <w:tc>
          <w:tcPr/>
          <w:p>
            <w:pPr>
              <w:pStyle w:val="Compact"/>
            </w:pPr>
            <w:r>
              <w:rPr>
                <w:rFonts w:hint="eastAsia"/>
              </w:rPr>
              <w:t xml:space="preserve">8級</w:t>
            </w:r>
          </w:p>
        </w:tc>
        <w:tc>
          <w:tcPr/>
          <w:p>
            <w:pPr>
              <w:pStyle w:val="Compact"/>
            </w:pPr>
            <w:r>
              <w:rPr>
                <w:rFonts w:hint="eastAsia"/>
              </w:rPr>
              <w:t xml:space="preserve">役員候補</w:t>
            </w:r>
          </w:p>
        </w:tc>
        <w:tc>
          <w:tcPr/>
          <w:p>
            <w:pPr>
              <w:pStyle w:val="Compact"/>
            </w:pPr>
            <w:r>
              <w:t xml:space="preserve">90</w:t>
            </w:r>
          </w:p>
        </w:tc>
      </w:tr>
    </w:tbl>
    <w:bookmarkEnd w:id="33"/>
    <w:bookmarkStart w:id="34" w:name="計算例ポイント制"/>
    <w:p>
      <w:pPr>
        <w:pStyle w:val="Heading3"/>
      </w:pPr>
      <w:r>
        <w:rPr>
          <w:rFonts w:hint="eastAsia"/>
        </w:rPr>
        <w:t xml:space="preserve">計算例(ポイント制)</w:t>
      </w:r>
    </w:p>
    <w:p>
      <w:pPr>
        <w:pStyle w:val="Compact"/>
        <w:numPr>
          <w:ilvl w:val="0"/>
          <w:numId w:val="1028"/>
        </w:numPr>
      </w:pPr>
      <w:r>
        <w:rPr>
          <w:rFonts w:hint="eastAsia"/>
        </w:rPr>
        <w:t xml:space="preserve">累計ポイント:800ポイント(25年勤務・平均32ポイント)</w:t>
      </w:r>
    </w:p>
    <w:p>
      <w:pPr>
        <w:pStyle w:val="Compact"/>
        <w:numPr>
          <w:ilvl w:val="0"/>
          <w:numId w:val="1028"/>
        </w:numPr>
      </w:pPr>
      <w:r>
        <w:rPr>
          <w:rFonts w:hint="eastAsia"/>
        </w:rPr>
        <w:t xml:space="preserve">ポイント単価:10,000円</w:t>
      </w:r>
    </w:p>
    <w:p>
      <w:pPr>
        <w:pStyle w:val="Compact"/>
        <w:numPr>
          <w:ilvl w:val="0"/>
          <w:numId w:val="1028"/>
        </w:numPr>
      </w:pPr>
      <w:r>
        <w:rPr>
          <w:rFonts w:hint="eastAsia"/>
        </w:rPr>
        <w:t xml:space="preserve">自己都合(係数0.7)</w:t>
      </w:r>
    </w:p>
    <w:p>
      <w:pPr>
        <w:pStyle w:val="Compact"/>
        <w:numPr>
          <w:ilvl w:val="0"/>
          <w:numId w:val="1028"/>
        </w:numPr>
      </w:pPr>
      <w:r>
        <w:t xml:space="preserve">→ 800 × </w:t>
      </w:r>
      <w:r>
        <w:rPr>
          <w:rFonts w:hint="eastAsia"/>
        </w:rPr>
        <w:t xml:space="preserve">10,000円</w:t>
      </w:r>
      <w:r>
        <w:t xml:space="preserve"> × 0.7 =</w:t>
      </w:r>
      <w:r>
        <w:t xml:space="preserve"> </w:t>
      </w:r>
      <w:r>
        <w:rPr>
          <w:rFonts w:hint="eastAsia"/>
          <w:b/>
          <w:bCs/>
        </w:rPr>
        <w:t xml:space="preserve">560万円</w:t>
      </w:r>
    </w:p>
    <w:p>
      <w:r>
        <w:pict>
          <v:rect style="width:0;height:1.5pt" o:hralign="center" o:hrstd="t" o:hr="t"/>
        </w:pict>
      </w:r>
    </w:p>
    <w:bookmarkEnd w:id="34"/>
    <w:bookmarkEnd w:id="35"/>
    <w:bookmarkStart w:id="36" w:name="別表第3勤続年数別退職金額別表方式4-c"/>
    <w:p>
      <w:pPr>
        <w:pStyle w:val="Heading2"/>
      </w:pPr>
      <w:r>
        <w:rPr>
          <w:rFonts w:hint="eastAsia"/>
        </w:rPr>
        <w:t xml:space="preserve">別表第3:勤続年数別退職金額(別表方式・4-C)</w:t>
      </w:r>
    </w:p>
    <w:p>
      <w:pPr>
        <w:pStyle w:val="FirstParagraph"/>
      </w:pPr>
      <w:r>
        <w:rPr>
          <w:rFonts w:hint="eastAsia"/>
        </w:rPr>
        <w:t xml:space="preserve">(自己都合退職の場合の基準額)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勤続年数</w:t>
            </w:r>
          </w:p>
        </w:tc>
        <w:tc>
          <w:tcPr/>
          <w:p>
            <w:pPr>
              <w:pStyle w:val="Compact"/>
            </w:pPr>
            <w:r>
              <w:rPr>
                <w:rFonts w:hint="eastAsia"/>
              </w:rPr>
              <w:t xml:space="preserve">退職金額(自己都合)</w:t>
            </w:r>
          </w:p>
        </w:tc>
        <w:tc>
          <w:tcPr/>
          <w:p>
            <w:pPr>
              <w:pStyle w:val="Compact"/>
            </w:pPr>
            <w:r>
              <w:rPr>
                <w:rFonts w:hint="eastAsia"/>
              </w:rPr>
              <w:t xml:space="preserve">退職金額(会社都合・定年)</w:t>
            </w:r>
          </w:p>
        </w:tc>
      </w:tr>
      <w:tr>
        <w:tc>
          <w:tcPr/>
          <w:p>
            <w:pPr>
              <w:pStyle w:val="Compact"/>
            </w:pPr>
            <w:r>
              <w:rPr>
                <w:rFonts w:hint="eastAsia"/>
              </w:rPr>
              <w:t xml:space="preserve">3年</w:t>
            </w:r>
          </w:p>
        </w:tc>
        <w:tc>
          <w:tcPr/>
          <w:p>
            <w:pPr>
              <w:pStyle w:val="Compact"/>
            </w:pPr>
            <w:r>
              <w:rPr>
                <w:rFonts w:hint="eastAsia"/>
              </w:rPr>
              <w:t xml:space="preserve">30万円</w:t>
            </w:r>
          </w:p>
        </w:tc>
        <w:tc>
          <w:tcPr/>
          <w:p>
            <w:pPr>
              <w:pStyle w:val="Compact"/>
            </w:pPr>
            <w:r>
              <w:rPr>
                <w:rFonts w:hint="eastAsia"/>
              </w:rPr>
              <w:t xml:space="preserve">50万円</w:t>
            </w:r>
          </w:p>
        </w:tc>
      </w:tr>
      <w:tr>
        <w:tc>
          <w:tcPr/>
          <w:p>
            <w:pPr>
              <w:pStyle w:val="Compact"/>
            </w:pPr>
            <w:r>
              <w:rPr>
                <w:rFonts w:hint="eastAsia"/>
              </w:rPr>
              <w:t xml:space="preserve">5年</w:t>
            </w:r>
          </w:p>
        </w:tc>
        <w:tc>
          <w:tcPr/>
          <w:p>
            <w:pPr>
              <w:pStyle w:val="Compact"/>
            </w:pPr>
            <w:r>
              <w:rPr>
                <w:rFonts w:hint="eastAsia"/>
              </w:rPr>
              <w:t xml:space="preserve">80万円</w:t>
            </w:r>
          </w:p>
        </w:tc>
        <w:tc>
          <w:tcPr/>
          <w:p>
            <w:pPr>
              <w:pStyle w:val="Compact"/>
            </w:pPr>
            <w:r>
              <w:rPr>
                <w:rFonts w:hint="eastAsia"/>
              </w:rPr>
              <w:t xml:space="preserve">120万円</w:t>
            </w:r>
          </w:p>
        </w:tc>
      </w:tr>
      <w:tr>
        <w:tc>
          <w:tcPr/>
          <w:p>
            <w:pPr>
              <w:pStyle w:val="Compact"/>
            </w:pPr>
            <w:r>
              <w:rPr>
                <w:rFonts w:hint="eastAsia"/>
              </w:rPr>
              <w:t xml:space="preserve">10年</w:t>
            </w:r>
          </w:p>
        </w:tc>
        <w:tc>
          <w:tcPr/>
          <w:p>
            <w:pPr>
              <w:pStyle w:val="Compact"/>
            </w:pPr>
            <w:r>
              <w:rPr>
                <w:rFonts w:hint="eastAsia"/>
              </w:rPr>
              <w:t xml:space="preserve">200万円</w:t>
            </w:r>
          </w:p>
        </w:tc>
        <w:tc>
          <w:tcPr/>
          <w:p>
            <w:pPr>
              <w:pStyle w:val="Compact"/>
            </w:pPr>
            <w:r>
              <w:rPr>
                <w:rFonts w:hint="eastAsia"/>
              </w:rPr>
              <w:t xml:space="preserve">300万円</w:t>
            </w:r>
          </w:p>
        </w:tc>
      </w:tr>
      <w:tr>
        <w:tc>
          <w:tcPr/>
          <w:p>
            <w:pPr>
              <w:pStyle w:val="Compact"/>
            </w:pPr>
            <w:r>
              <w:rPr>
                <w:rFonts w:hint="eastAsia"/>
              </w:rPr>
              <w:t xml:space="preserve">15年</w:t>
            </w:r>
          </w:p>
        </w:tc>
        <w:tc>
          <w:tcPr/>
          <w:p>
            <w:pPr>
              <w:pStyle w:val="Compact"/>
            </w:pPr>
            <w:r>
              <w:rPr>
                <w:rFonts w:hint="eastAsia"/>
              </w:rPr>
              <w:t xml:space="preserve">400万円</w:t>
            </w:r>
          </w:p>
        </w:tc>
        <w:tc>
          <w:tcPr/>
          <w:p>
            <w:pPr>
              <w:pStyle w:val="Compact"/>
            </w:pPr>
            <w:r>
              <w:rPr>
                <w:rFonts w:hint="eastAsia"/>
              </w:rPr>
              <w:t xml:space="preserve">600万円</w:t>
            </w:r>
          </w:p>
        </w:tc>
      </w:tr>
      <w:tr>
        <w:tc>
          <w:tcPr/>
          <w:p>
            <w:pPr>
              <w:pStyle w:val="Compact"/>
            </w:pPr>
            <w:r>
              <w:rPr>
                <w:rFonts w:hint="eastAsia"/>
              </w:rPr>
              <w:t xml:space="preserve">20年</w:t>
            </w:r>
          </w:p>
        </w:tc>
        <w:tc>
          <w:tcPr/>
          <w:p>
            <w:pPr>
              <w:pStyle w:val="Compact"/>
            </w:pPr>
            <w:r>
              <w:rPr>
                <w:rFonts w:hint="eastAsia"/>
              </w:rPr>
              <w:t xml:space="preserve">700万円</w:t>
            </w:r>
          </w:p>
        </w:tc>
        <w:tc>
          <w:tcPr/>
          <w:p>
            <w:pPr>
              <w:pStyle w:val="Compact"/>
            </w:pPr>
            <w:r>
              <w:rPr>
                <w:rFonts w:hint="eastAsia"/>
              </w:rPr>
              <w:t xml:space="preserve">1,000万円</w:t>
            </w:r>
          </w:p>
        </w:tc>
      </w:tr>
      <w:tr>
        <w:tc>
          <w:tcPr/>
          <w:p>
            <w:pPr>
              <w:pStyle w:val="Compact"/>
            </w:pPr>
            <w:r>
              <w:rPr>
                <w:rFonts w:hint="eastAsia"/>
              </w:rPr>
              <w:t xml:space="preserve">25年</w:t>
            </w:r>
          </w:p>
        </w:tc>
        <w:tc>
          <w:tcPr/>
          <w:p>
            <w:pPr>
              <w:pStyle w:val="Compact"/>
            </w:pPr>
            <w:r>
              <w:rPr>
                <w:rFonts w:hint="eastAsia"/>
              </w:rPr>
              <w:t xml:space="preserve">1,100万円</w:t>
            </w:r>
          </w:p>
        </w:tc>
        <w:tc>
          <w:tcPr/>
          <w:p>
            <w:pPr>
              <w:pStyle w:val="Compact"/>
            </w:pPr>
            <w:r>
              <w:rPr>
                <w:rFonts w:hint="eastAsia"/>
              </w:rPr>
              <w:t xml:space="preserve">1,600万円</w:t>
            </w:r>
          </w:p>
        </w:tc>
      </w:tr>
      <w:tr>
        <w:tc>
          <w:tcPr/>
          <w:p>
            <w:pPr>
              <w:pStyle w:val="Compact"/>
            </w:pPr>
            <w:r>
              <w:rPr>
                <w:rFonts w:hint="eastAsia"/>
              </w:rPr>
              <w:t xml:space="preserve">30年</w:t>
            </w:r>
          </w:p>
        </w:tc>
        <w:tc>
          <w:tcPr/>
          <w:p>
            <w:pPr>
              <w:pStyle w:val="Compact"/>
            </w:pPr>
            <w:r>
              <w:rPr>
                <w:rFonts w:hint="eastAsia"/>
              </w:rPr>
              <w:t xml:space="preserve">1,700万円</w:t>
            </w:r>
          </w:p>
        </w:tc>
        <w:tc>
          <w:tcPr/>
          <w:p>
            <w:pPr>
              <w:pStyle w:val="Compact"/>
            </w:pPr>
            <w:r>
              <w:rPr>
                <w:rFonts w:hint="eastAsia"/>
              </w:rPr>
              <w:t xml:space="preserve">2,400万円</w:t>
            </w:r>
          </w:p>
        </w:tc>
      </w:tr>
      <w:tr>
        <w:tc>
          <w:tcPr/>
          <w:p>
            <w:pPr>
              <w:pStyle w:val="Compact"/>
            </w:pPr>
            <w:r>
              <w:rPr>
                <w:rFonts w:hint="eastAsia"/>
              </w:rPr>
              <w:t xml:space="preserve">35年</w:t>
            </w:r>
          </w:p>
        </w:tc>
        <w:tc>
          <w:tcPr/>
          <w:p>
            <w:pPr>
              <w:pStyle w:val="Compact"/>
            </w:pPr>
            <w:r>
              <w:rPr>
                <w:rFonts w:hint="eastAsia"/>
              </w:rPr>
              <w:t xml:space="preserve">2,500万円</w:t>
            </w:r>
          </w:p>
        </w:tc>
        <w:tc>
          <w:tcPr/>
          <w:p>
            <w:pPr>
              <w:pStyle w:val="Compact"/>
            </w:pPr>
            <w:r>
              <w:rPr>
                <w:rFonts w:hint="eastAsia"/>
              </w:rPr>
              <w:t xml:space="preserve">3,500万円</w:t>
            </w:r>
          </w:p>
        </w:tc>
      </w:tr>
      <w:tr>
        <w:tc>
          <w:tcPr/>
          <w:p>
            <w:pPr>
              <w:pStyle w:val="Compact"/>
            </w:pPr>
            <w:r>
              <w:rPr>
                <w:rFonts w:hint="eastAsia"/>
              </w:rPr>
              <w:t xml:space="preserve">40年</w:t>
            </w:r>
          </w:p>
        </w:tc>
        <w:tc>
          <w:tcPr/>
          <w:p>
            <w:pPr>
              <w:pStyle w:val="Compact"/>
            </w:pPr>
            <w:r>
              <w:rPr>
                <w:rFonts w:hint="eastAsia"/>
              </w:rPr>
              <w:t xml:space="preserve">3,500万円</w:t>
            </w:r>
          </w:p>
        </w:tc>
        <w:tc>
          <w:tcPr/>
          <w:p>
            <w:pPr>
              <w:pStyle w:val="Compact"/>
            </w:pPr>
            <w:r>
              <w:rPr>
                <w:rFonts w:hint="eastAsia"/>
              </w:rPr>
              <w:t xml:space="preserve">5,000万円</w:t>
            </w:r>
          </w:p>
        </w:tc>
      </w:tr>
    </w:tbl>
    <w:p>
      <w:pPr>
        <w:pStyle w:val="BodyText"/>
      </w:pPr>
      <w:r>
        <w:rPr>
          <w:rFonts w:hint="eastAsia"/>
        </w:rPr>
        <w:t xml:space="preserve">(上記は中堅・中小企業の標準的水準を示す参考値・業界・規模により大幅に変動します)</w:t>
      </w:r>
    </w:p>
    <w:p>
      <w:r>
        <w:pict>
          <v:rect style="width:0;height:1.5pt" o:hralign="center" o:hrstd="t" o:hr="t"/>
        </w:pict>
      </w:r>
    </w:p>
    <w:bookmarkEnd w:id="36"/>
    <w:bookmarkStart w:id="38" w:name="印紙税に関する注記"/>
    <w:p>
      <w:pPr>
        <w:pStyle w:val="Heading2"/>
      </w:pPr>
      <w:r>
        <w:rPr>
          <w:rFonts w:hint="eastAsia"/>
        </w:rPr>
        <w:t xml:space="preserve">印紙税に関する注記</w:t>
      </w:r>
    </w:p>
    <w:p>
      <w:pPr>
        <w:pStyle w:val="FirstParagraph"/>
      </w:pPr>
      <w:r>
        <w:rPr>
          <w:rFonts w:hint="eastAsia"/>
          <w:b/>
          <w:bCs/>
        </w:rPr>
        <w:t xml:space="preserve">退職金規程は、印紙税法上の課税文書に該当しません(不課税)</w:t>
      </w:r>
      <w:r>
        <w:rPr>
          <w:rFonts w:hint="eastAsia"/>
        </w:rPr>
        <w:t xml:space="preserve">。退職金規程は社内規程であり、印紙税法別表第一の各号文書(契約書・受領書・約束手形等)のいずれにも該当しないためです。</w:t>
      </w:r>
    </w:p>
    <w:p>
      <w:pPr>
        <w:pStyle w:val="BodyText"/>
      </w:pPr>
      <w:r>
        <w:rPr>
          <w:rFonts w:hint="eastAsia"/>
        </w:rPr>
        <w:t xml:space="preserve">紙の規程・電子保管いずれの形式でも、印紙税は不要です。</w:t>
      </w:r>
    </w:p>
    <w:bookmarkStart w:id="37" w:name="関連書類の印紙税"/>
    <w:p>
      <w:pPr>
        <w:pStyle w:val="Heading3"/>
      </w:pPr>
      <w:r>
        <w:rPr>
          <w:rFonts w:hint="eastAsia"/>
        </w:rPr>
        <w:t xml:space="preserve">関連書類の印紙税</w:t>
      </w:r>
    </w:p>
    <w:p>
      <w:pPr>
        <w:pStyle w:val="FirstParagraph"/>
      </w:pPr>
      <w:r>
        <w:rPr>
          <w:rFonts w:hint="eastAsia"/>
        </w:rPr>
        <w:t xml:space="preserve">退職金関連書類のうち、</w:t>
      </w:r>
    </w:p>
    <w:p>
      <w:pPr>
        <w:pStyle w:val="Compact"/>
        <w:numPr>
          <w:ilvl w:val="0"/>
          <w:numId w:val="1029"/>
        </w:numPr>
      </w:pPr>
      <w:r>
        <w:rPr>
          <w:rFonts w:hint="eastAsia"/>
          <w:b/>
          <w:bCs/>
        </w:rPr>
        <w:t xml:space="preserve">退職金支給時の領収書</w:t>
      </w:r>
      <w:r>
        <w:rPr>
          <w:rFonts w:hint="eastAsia"/>
        </w:rPr>
        <w:t xml:space="preserve">(5万円以上):</w:t>
      </w:r>
      <w:r>
        <w:rPr>
          <w:rFonts w:hint="eastAsia"/>
          <w:b/>
          <w:bCs/>
        </w:rPr>
        <w:t xml:space="preserve">第17号文書</w:t>
      </w:r>
      <w:r>
        <w:rPr>
          <w:rFonts w:hint="eastAsia"/>
        </w:rPr>
        <w:t xml:space="preserve">として課税(200円〜)</w:t>
      </w:r>
    </w:p>
    <w:p>
      <w:pPr>
        <w:pStyle w:val="Compact"/>
        <w:numPr>
          <w:ilvl w:val="0"/>
          <w:numId w:val="1029"/>
        </w:numPr>
      </w:pPr>
      <w:r>
        <w:rPr>
          <w:rFonts w:hint="eastAsia"/>
          <w:b/>
          <w:bCs/>
        </w:rPr>
        <w:t xml:space="preserve">退職時の合意書</w:t>
      </w:r>
      <w:r>
        <w:rPr>
          <w:rFonts w:hint="eastAsia"/>
        </w:rPr>
        <w:t xml:space="preserve">(損害賠償等を含む):内容により判定</w:t>
      </w:r>
    </w:p>
    <w:p>
      <w:pPr>
        <w:pStyle w:val="FirstParagraph"/>
      </w:pPr>
      <w:r>
        <w:rPr>
          <w:rFonts w:hint="eastAsia"/>
        </w:rPr>
        <w:t xml:space="preserve">があり得ます。</w:t>
      </w:r>
      <w:r>
        <w:rPr>
          <w:rFonts w:hint="eastAsia"/>
          <w:b/>
          <w:bCs/>
        </w:rPr>
        <w:t xml:space="preserve">電子契約・電子発行なら一律印紙税不要</w:t>
      </w:r>
      <w:r>
        <w:t xml:space="preserve">です。</w:t>
      </w:r>
    </w:p>
    <w:p>
      <w:r>
        <w:pict>
          <v:rect style="width:0;height:1.5pt" o:hralign="center" o:hrstd="t" o:hr="t"/>
        </w:pict>
      </w:r>
    </w:p>
    <w:bookmarkEnd w:id="37"/>
    <w:bookmarkEnd w:id="38"/>
    <w:bookmarkStart w:id="39" w:name="テンプレート利用上の注意"/>
    <w:p>
      <w:pPr>
        <w:pStyle w:val="Heading2"/>
      </w:pPr>
      <w:r>
        <w:rPr>
          <w:rFonts w:hint="eastAsia"/>
        </w:rPr>
        <w:t xml:space="preserve">テンプレート利用上の注意</w:t>
      </w:r>
    </w:p>
    <w:p>
      <w:pPr>
        <w:pStyle w:val="Compact"/>
        <w:numPr>
          <w:ilvl w:val="0"/>
          <w:numId w:val="1030"/>
        </w:numPr>
      </w:pPr>
      <w:r>
        <w:rPr>
          <w:rFonts w:hint="eastAsia"/>
        </w:rPr>
        <w:t xml:space="preserve">本テンプレートは弁護士監修ですが、個別案件に応じた修正が必要です。重要な就業規則・社内規程は弁護士・社会保険労務士にご相談ください。</w:t>
      </w:r>
    </w:p>
    <w:p>
      <w:pPr>
        <w:pStyle w:val="Compact"/>
        <w:numPr>
          <w:ilvl w:val="0"/>
          <w:numId w:val="1030"/>
        </w:numPr>
      </w:pPr>
      <w:r>
        <w:rPr>
          <w:rFonts w:hint="eastAsia"/>
          <w:b/>
          <w:bCs/>
        </w:rPr>
        <w:t xml:space="preserve">本テンプレートは退職金規程(汎用版・基本給連動型を主構成)+ポイント制/別表方式の3類型対応+中退共併用条項</w:t>
      </w:r>
      <w:r>
        <w:rPr>
          <w:rFonts w:hint="eastAsia"/>
        </w:rPr>
        <w:t xml:space="preserve">の構成です。自社の方針に応じて第4条で1つの方式を選択し、他は削除してください。</w:t>
      </w:r>
    </w:p>
    <w:p>
      <w:pPr>
        <w:pStyle w:val="Compact"/>
        <w:numPr>
          <w:ilvl w:val="0"/>
          <w:numId w:val="1030"/>
        </w:numPr>
      </w:pPr>
      <w:r>
        <w:rPr>
          <w:rFonts w:hint="eastAsia"/>
          <w:b/>
          <w:bCs/>
        </w:rPr>
        <w:t xml:space="preserve">第3条(退職金の支給要件)第2項の最低勤続年数</w:t>
      </w:r>
      <w:r>
        <w:rPr>
          <w:rFonts w:hint="eastAsia"/>
        </w:rPr>
        <w:t xml:space="preserve">(通常2〜3年)は短期離職者対応に重要です。</w:t>
      </w:r>
    </w:p>
    <w:p>
      <w:pPr>
        <w:pStyle w:val="Compact"/>
        <w:numPr>
          <w:ilvl w:val="0"/>
          <w:numId w:val="1030"/>
        </w:numPr>
      </w:pPr>
      <w:r>
        <w:rPr>
          <w:rFonts w:hint="eastAsia"/>
          <w:b/>
          <w:bCs/>
        </w:rPr>
        <w:t xml:space="preserve">第4条(退職金の算定方法)</w:t>
      </w:r>
      <w:r>
        <w:rPr>
          <w:rFonts w:hint="eastAsia"/>
        </w:rPr>
        <w:t xml:space="preserve">は本規程の核心条項です。3類型(基本給連動型/ポイント制/別表方式)から選択してください。</w:t>
      </w:r>
    </w:p>
    <w:p>
      <w:pPr>
        <w:pStyle w:val="Compact"/>
        <w:numPr>
          <w:ilvl w:val="0"/>
          <w:numId w:val="1030"/>
        </w:numPr>
      </w:pPr>
      <w:r>
        <w:rPr>
          <w:rFonts w:hint="eastAsia"/>
          <w:b/>
          <w:bCs/>
        </w:rPr>
        <w:t xml:space="preserve">第5条(勤続年数の計算)</w:t>
      </w:r>
      <w:r>
        <w:t xml:space="preserve">で</w:t>
      </w:r>
      <w:r>
        <w:rPr>
          <w:rFonts w:hint="eastAsia"/>
          <w:b/>
          <w:bCs/>
        </w:rPr>
        <w:t xml:space="preserve">育児休業・介護休業・産前産後休業は勤続年数に算入</w:t>
      </w:r>
      <w:r>
        <w:rPr>
          <w:rFonts w:hint="eastAsia"/>
        </w:rPr>
        <w:t xml:space="preserve">することが推奨されます(労働関係法令の趣旨)。</w:t>
      </w:r>
    </w:p>
    <w:p>
      <w:pPr>
        <w:pStyle w:val="Compact"/>
        <w:numPr>
          <w:ilvl w:val="0"/>
          <w:numId w:val="1030"/>
        </w:numPr>
      </w:pPr>
      <w:r>
        <w:rPr>
          <w:rFonts w:hint="eastAsia"/>
          <w:b/>
          <w:bCs/>
        </w:rPr>
        <w:t xml:space="preserve">第6条(退職事由別係数)</w:t>
      </w:r>
      <w:r>
        <w:rPr>
          <w:rFonts w:hint="eastAsia"/>
        </w:rPr>
        <w:t xml:space="preserve">は退職金の核心要素です。</w:t>
      </w:r>
      <w:r>
        <w:rPr>
          <w:rFonts w:hint="eastAsia"/>
          <w:b/>
          <w:bCs/>
        </w:rPr>
        <w:t xml:space="preserve">自己都合0.7・会社都合1.0・懲戒解雇0または減額</w:t>
      </w:r>
      <w:r>
        <w:rPr>
          <w:rFonts w:hint="eastAsia"/>
        </w:rPr>
        <w:t xml:space="preserve">が標準です。</w:t>
      </w:r>
    </w:p>
    <w:p>
      <w:pPr>
        <w:pStyle w:val="Compact"/>
        <w:numPr>
          <w:ilvl w:val="0"/>
          <w:numId w:val="1030"/>
        </w:numPr>
      </w:pPr>
      <w:r>
        <w:rPr>
          <w:rFonts w:hint="eastAsia"/>
          <w:b/>
          <w:bCs/>
        </w:rPr>
        <w:t xml:space="preserve">第7条(支給時期および方法)</w:t>
      </w:r>
      <w:r>
        <w:rPr>
          <w:rFonts w:hint="eastAsia"/>
        </w:rPr>
        <w:t xml:space="preserve">で支給時期(退職後1〜2か月以内)を明示してください。</w:t>
      </w:r>
    </w:p>
    <w:p>
      <w:pPr>
        <w:pStyle w:val="Compact"/>
        <w:numPr>
          <w:ilvl w:val="0"/>
          <w:numId w:val="1030"/>
        </w:numPr>
      </w:pPr>
      <w:r>
        <w:rPr>
          <w:rFonts w:hint="eastAsia"/>
          <w:b/>
          <w:bCs/>
        </w:rPr>
        <w:t xml:space="preserve">第8条(不支給および減額)</w:t>
      </w:r>
      <w:r>
        <w:rPr>
          <w:rFonts w:hint="eastAsia"/>
        </w:rPr>
        <w:t xml:space="preserve">は最高裁判例(H12.3.9三晃社事件等)を踏まえ、</w:t>
      </w:r>
      <w:r>
        <w:rPr>
          <w:rFonts w:hint="eastAsia"/>
          <w:b/>
          <w:bCs/>
        </w:rPr>
        <w:t xml:space="preserve">第2項の相当性判断条項</w:t>
      </w:r>
      <w:r>
        <w:rPr>
          <w:rFonts w:hint="eastAsia"/>
        </w:rPr>
        <w:t xml:space="preserve">を必ず含めてください。規程は厳しく、運用は柔軟にが現代的なアプローチです。</w:t>
      </w:r>
    </w:p>
    <w:p>
      <w:pPr>
        <w:pStyle w:val="Compact"/>
        <w:numPr>
          <w:ilvl w:val="0"/>
          <w:numId w:val="1030"/>
        </w:numPr>
      </w:pPr>
      <w:r>
        <w:rPr>
          <w:rFonts w:hint="eastAsia"/>
          <w:b/>
          <w:bCs/>
        </w:rPr>
        <w:t xml:space="preserve">第9条(死亡退職時の取扱い)</w:t>
      </w:r>
      <w:r>
        <w:rPr>
          <w:rFonts w:hint="eastAsia"/>
        </w:rPr>
        <w:t xml:space="preserve">で遺族受給順位を明確化してください。内縁配偶者を含める設計が現代的です。</w:t>
      </w:r>
    </w:p>
    <w:p>
      <w:pPr>
        <w:pStyle w:val="Compact"/>
        <w:numPr>
          <w:ilvl w:val="0"/>
          <w:numId w:val="1030"/>
        </w:numPr>
      </w:pPr>
      <w:r>
        <w:rPr>
          <w:rFonts w:hint="eastAsia"/>
          <w:b/>
          <w:bCs/>
        </w:rPr>
        <w:t xml:space="preserve">第10条(中小企業退職金共済との関係)</w:t>
      </w:r>
      <w:r>
        <w:rPr>
          <w:rFonts w:hint="eastAsia"/>
        </w:rPr>
        <w:t xml:space="preserve">を活用することで、中小企業の退職金負担を平準化できます。</w:t>
      </w:r>
      <w:r>
        <w:rPr>
          <w:rFonts w:hint="eastAsia"/>
          <w:b/>
          <w:bCs/>
        </w:rPr>
        <w:t xml:space="preserve">掛金損金算入・国の助成金・倒産時保護</w:t>
      </w:r>
      <w:r>
        <w:rPr>
          <w:rFonts w:hint="eastAsia"/>
        </w:rPr>
        <w:t xml:space="preserve">等のメリットが大きい制度です。</w:t>
      </w:r>
    </w:p>
    <w:p>
      <w:pPr>
        <w:pStyle w:val="Compact"/>
        <w:numPr>
          <w:ilvl w:val="0"/>
          <w:numId w:val="1030"/>
        </w:numPr>
      </w:pPr>
      <w:r>
        <w:rPr>
          <w:rFonts w:hint="eastAsia"/>
          <w:b/>
          <w:bCs/>
        </w:rPr>
        <w:t xml:space="preserve">第14条(規程の変更)</w:t>
      </w:r>
      <w:r>
        <w:rPr>
          <w:rFonts w:hint="eastAsia"/>
        </w:rPr>
        <w:t xml:space="preserve">で不利益変更の困難性に注意してください。退職金規程の支給率引下げ等は</w:t>
      </w:r>
      <w:r>
        <w:rPr>
          <w:rFonts w:hint="eastAsia"/>
          <w:b/>
          <w:bCs/>
        </w:rPr>
        <w:t xml:space="preserve">労働契約法第9条により原則同意が必要</w:t>
      </w:r>
      <w:r>
        <w:t xml:space="preserve">です。</w:t>
      </w:r>
    </w:p>
    <w:p>
      <w:pPr>
        <w:pStyle w:val="Compact"/>
        <w:numPr>
          <w:ilvl w:val="0"/>
          <w:numId w:val="1030"/>
        </w:numPr>
      </w:pPr>
      <w:r>
        <w:rPr>
          <w:rFonts w:hint="eastAsia"/>
          <w:b/>
          <w:bCs/>
        </w:rPr>
        <w:t xml:space="preserve">常時10人以上の労働者を使用する事業場</w:t>
      </w:r>
      <w:r>
        <w:rPr>
          <w:rFonts w:hint="eastAsia"/>
        </w:rPr>
        <w:t xml:space="preserve">では、本規程を就業規則の一部として労働基準監督署への届出が必要です(労基法第89条第3号の2)。届出時は過半数労働者の意見書(同第90条)・全従業員への周知(同第106条)も必須です。</w:t>
      </w:r>
    </w:p>
    <w:p>
      <w:pPr>
        <w:pStyle w:val="Compact"/>
        <w:numPr>
          <w:ilvl w:val="0"/>
          <w:numId w:val="1030"/>
        </w:numPr>
      </w:pPr>
      <w:r>
        <w:rPr>
          <w:rFonts w:hint="eastAsia"/>
          <w:b/>
          <w:bCs/>
        </w:rPr>
        <w:t xml:space="preserve">退職金規程は印紙税不要</w:t>
      </w:r>
      <w:r>
        <w:rPr>
          <w:rFonts w:hint="eastAsia"/>
        </w:rPr>
        <w:t xml:space="preserve">(不課税)です。関連書類(退職金支給時の領収書5万円以上等)には印紙税が発生する場合があります。</w:t>
      </w:r>
    </w:p>
    <w:p>
      <w:pPr>
        <w:pStyle w:val="Compact"/>
        <w:numPr>
          <w:ilvl w:val="0"/>
          <w:numId w:val="1030"/>
        </w:numPr>
      </w:pPr>
      <w:r>
        <w:rPr>
          <w:rFonts w:hint="eastAsia"/>
          <w:b/>
          <w:bCs/>
        </w:rPr>
        <w:t xml:space="preserve">電子契約サービス活用のメリット</w:t>
      </w:r>
      <w:r>
        <w:rPr>
          <w:rFonts w:hint="eastAsia"/>
        </w:rPr>
        <w:t xml:space="preserve">:規程の電子周知・意見書/同意書の電子取得・退職時合意書の電子締結・電子帳簿保存法対応。</w:t>
      </w:r>
    </w:p>
    <w:p>
      <w:pPr>
        <w:pStyle w:val="Compact"/>
        <w:numPr>
          <w:ilvl w:val="0"/>
          <w:numId w:val="1030"/>
        </w:numPr>
      </w:pPr>
      <w:r>
        <w:rPr>
          <w:rFonts w:hint="eastAsia"/>
        </w:rPr>
        <w:t xml:space="preserve">別表(第1〜第3)の数値は参考値であり、自社の規模・業界・経営状況に応じて慎重に設計してください。</w:t>
      </w:r>
    </w:p>
    <w:p>
      <w:pPr>
        <w:pStyle w:val="Compact"/>
        <w:numPr>
          <w:ilvl w:val="0"/>
          <w:numId w:val="1030"/>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就業規則・社内規程は、弁護士・社会保険労務士等の専門家にご相談ください。</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20197;&#19979;&#12300;&#20250;&#31038;&#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9" Target="&#20197;&#19979;&#12300;&#20250;&#31038;&#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