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3" w:name="成果報酬型業務委託契約書"/>
    <w:p>
      <w:pPr>
        <w:pStyle w:val="Heading1"/>
      </w:pPr>
      <w:r>
        <w:rPr>
          <w:rFonts w:hint="eastAsia"/>
        </w:rPr>
        <w:t xml:space="preserve">成果報酬型業務委託契約書</w:t>
      </w:r>
    </w:p>
    <w:p>
      <w:pPr>
        <w:pStyle w:val="BlockText"/>
      </w:pPr>
      <w:r>
        <w:rPr>
          <w:rFonts w:hint="eastAsia"/>
          <w:b/>
          <w:bCs/>
        </w:rPr>
        <w:t xml:space="preserve">※本テンプレートは弁護士監修ですが、業種・成果指標・取引規模に応じた修正が必要です。規制業種(化粧品・健康食品・金融商品等)での成果報酬契約は、業種特有の規制(薬機法・景表法・金商法等)への対応が不可欠です。重要案件は必ず弁護士のレビューを受けてください。</w:t>
      </w:r>
    </w:p>
    <w:p>
      <w:pPr>
        <w:pStyle w:val="BlockText"/>
      </w:pPr>
      <w:r>
        <w:rPr>
          <w:rFonts w:hint="eastAsia"/>
          <w:b/>
          <w:bCs/>
        </w:rPr>
        <w:t xml:space="preserve">【成果報酬型業務委託契約の性質に関する注記】</w:t>
      </w:r>
      <w:r>
        <w:t xml:space="preserve"> </w:t>
      </w:r>
      <w:r>
        <w:rPr>
          <w:rFonts w:hint="eastAsia"/>
        </w:rPr>
        <w:t xml:space="preserve">本契約は、委託者(甲)が受託者(乙)に業務を委託し、成果の発生に応じて報酬を支払う成果報酬型の業務委託契約として設計しています。民法上は、成果完成型の準委任(民法第648条の2)、請負(民法第632条)、又はその複合的な契約となります。受託者(乙)が個人事業主の場合、2024年11月施行のフリーランス新法に対応する必要があります。</w:t>
      </w:r>
    </w:p>
    <w:p>
      <w:r>
        <w:pict>
          <v:rect style="width:0;height:1.5pt" o:hralign="center" o:hrstd="t" o:hr="t"/>
        </w:pict>
      </w:r>
    </w:p>
    <w:bookmarkStart w:id="11" w:name="前文"/>
    <w:p>
      <w:pPr>
        <w:pStyle w:val="Heading2"/>
      </w:pPr>
      <w:r>
        <w:rPr>
          <w:rFonts w:hint="eastAsia"/>
        </w:rPr>
        <w:t xml:space="preserve">前文</w:t>
      </w:r>
    </w:p>
    <w:p>
      <w:pPr>
        <w:pStyle w:val="FirstParagraph"/>
      </w:pPr>
      <w:hyperlink r:id="rId9">
        <w:r>
          <w:rPr>
            <w:rStyle w:val="Hyperlink"/>
            <w:rFonts w:hint="eastAsia"/>
          </w:rPr>
          <w:t xml:space="preserve">甲の正式名称(委託者・例:○○株式会社)</w:t>
        </w:r>
      </w:hyperlink>
      <w:r>
        <w:t xml:space="preserve">と</w:t>
      </w:r>
      <w:hyperlink r:id="rId10">
        <w:r>
          <w:rPr>
            <w:rStyle w:val="Hyperlink"/>
            <w:rFonts w:hint="eastAsia"/>
          </w:rPr>
          <w:t xml:space="preserve">乙の正式名称(受託者・例:○○株式会社又は個人氏名)</w:t>
        </w:r>
      </w:hyperlink>
      <w:r>
        <w:rPr>
          <w:rFonts w:hint="eastAsia"/>
        </w:rPr>
        <w:t xml:space="preserve">は、甲が乙に対し業務を成果報酬型で委託することに関し、以下のとおり成果報酬型業務委託契約(以下「本契約」という。)を締結する。</w:t>
      </w:r>
    </w:p>
    <w:p>
      <w:r>
        <w:pict>
          <v:rect style="width:0;height:1.5pt" o:hralign="center" o:hrstd="t" o:hr="t"/>
        </w:pict>
      </w:r>
    </w:p>
    <w:bookmarkEnd w:id="11"/>
    <w:bookmarkStart w:id="12"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契約の目的を明確化。成果報酬型であることを明示することで、報酬発生の前提を整理。</w:t>
      </w:r>
    </w:p>
    <w:p>
      <w:pPr>
        <w:pStyle w:val="BodyText"/>
      </w:pPr>
      <w:r>
        <w:rPr>
          <w:rFonts w:hint="eastAsia"/>
        </w:rPr>
        <w:t xml:space="preserve">本契約は、甲が乙に対し別紙1「業務範囲明細」記載の業務(以下「本件業務」という。)を委託し、乙の活動により発生する成果に応じて、甲が乙に対し報酬を支払うことについて、甲乙の権利義務関係を定めることを目的とする。</w:t>
      </w:r>
    </w:p>
    <w:p>
      <w:r>
        <w:pict>
          <v:rect style="width:0;height:1.5pt" o:hralign="center" o:hrstd="t" o:hr="t"/>
        </w:pict>
      </w:r>
    </w:p>
    <w:bookmarkEnd w:id="12"/>
    <w:bookmarkStart w:id="13" w:name="第2条業務範囲"/>
    <w:p>
      <w:pPr>
        <w:pStyle w:val="Heading2"/>
      </w:pPr>
      <w:r>
        <w:rPr>
          <w:rFonts w:hint="eastAsia"/>
        </w:rPr>
        <w:t xml:space="preserve">第2条(業務範囲)</w:t>
      </w:r>
    </w:p>
    <w:p>
      <w:pPr>
        <w:pStyle w:val="FirstParagraph"/>
      </w:pPr>
      <w:r>
        <w:rPr>
          <w:rFonts w:hint="eastAsia"/>
          <w:b/>
          <w:bCs/>
        </w:rPr>
        <w:t xml:space="preserve">【解説】</w:t>
      </w:r>
      <w:r>
        <w:t xml:space="preserve"> </w:t>
      </w:r>
      <w:r>
        <w:rPr>
          <w:rFonts w:hint="eastAsia"/>
        </w:rPr>
        <w:t xml:space="preserve">業務範囲の不明確化は紛争の元。別紙で詳細化して紛争予防。</w:t>
      </w:r>
    </w:p>
    <w:p>
      <w:pPr>
        <w:pStyle w:val="Compact"/>
        <w:numPr>
          <w:ilvl w:val="0"/>
          <w:numId w:val="1001"/>
        </w:numPr>
      </w:pPr>
      <w:r>
        <w:rPr>
          <w:rFonts w:hint="eastAsia"/>
        </w:rPr>
        <w:t xml:space="preserve">乙は、甲に対し、別紙1記載の業務(以下「本件業務」)を提供する。主な業務内容は次のとおりとする。</w:t>
      </w:r>
    </w:p>
    <w:p>
      <w:pPr>
        <w:pStyle w:val="Compact"/>
        <w:numPr>
          <w:ilvl w:val="0"/>
          <w:numId w:val="1002"/>
        </w:numPr>
      </w:pPr>
      <w:r>
        <w:rPr>
          <w:rFonts w:hint="eastAsia"/>
        </w:rPr>
        <w:t xml:space="preserve">[営業代行/Webマーケティング/コンサルティング/採用代行/債権回収/その他]</w:t>
      </w:r>
    </w:p>
    <w:p>
      <w:pPr>
        <w:pStyle w:val="Compact"/>
        <w:numPr>
          <w:ilvl w:val="0"/>
          <w:numId w:val="1002"/>
        </w:numPr>
      </w:pPr>
      <w:r>
        <w:rPr>
          <w:rFonts w:hint="eastAsia"/>
        </w:rPr>
        <w:t xml:space="preserve">対象商品・サービス:[甲の商品・サービスを具体的に記載]</w:t>
      </w:r>
    </w:p>
    <w:p>
      <w:pPr>
        <w:pStyle w:val="Compact"/>
        <w:numPr>
          <w:ilvl w:val="0"/>
          <w:numId w:val="1002"/>
        </w:numPr>
      </w:pPr>
      <w:r>
        <w:rPr>
          <w:rFonts w:hint="eastAsia"/>
        </w:rPr>
        <w:t xml:space="preserve">対象顧客:[新規顧客/既存顧客/特定セグメント等]</w:t>
      </w:r>
    </w:p>
    <w:p>
      <w:pPr>
        <w:pStyle w:val="Compact"/>
        <w:numPr>
          <w:ilvl w:val="0"/>
          <w:numId w:val="1002"/>
        </w:numPr>
      </w:pPr>
      <w:r>
        <w:rPr>
          <w:rFonts w:hint="eastAsia"/>
        </w:rPr>
        <w:t xml:space="preserve">業務遂行の方法:[訪問/オンライン/電話・メール/SNS等]</w:t>
      </w:r>
    </w:p>
    <w:p>
      <w:pPr>
        <w:pStyle w:val="Compact"/>
        <w:numPr>
          <w:ilvl w:val="0"/>
          <w:numId w:val="1002"/>
        </w:numPr>
      </w:pPr>
      <w:r>
        <w:rPr>
          <w:rFonts w:hint="eastAsia"/>
        </w:rPr>
        <w:t xml:space="preserve">その他付随業務</w:t>
      </w:r>
    </w:p>
    <w:p>
      <w:pPr>
        <w:numPr>
          <w:ilvl w:val="0"/>
          <w:numId w:val="1003"/>
        </w:numPr>
      </w:pPr>
      <w:r>
        <w:rPr>
          <w:rFonts w:hint="eastAsia"/>
        </w:rPr>
        <w:t xml:space="preserve">業務範囲の詳細は、別紙1「業務範囲明細」記載のとおりとする。</w:t>
      </w:r>
    </w:p>
    <w:p>
      <w:pPr>
        <w:numPr>
          <w:ilvl w:val="0"/>
          <w:numId w:val="1003"/>
        </w:numPr>
      </w:pPr>
      <w:r>
        <w:rPr>
          <w:rFonts w:hint="eastAsia"/>
        </w:rPr>
        <w:t xml:space="preserve">別紙1記載の業務範囲を超える業務の追加は、別途協議の上、追加料金とする。</w:t>
      </w:r>
    </w:p>
    <w:p>
      <w:r>
        <w:pict>
          <v:rect style="width:0;height:1.5pt" o:hralign="center" o:hrstd="t" o:hr="t"/>
        </w:pict>
      </w:r>
    </w:p>
    <w:bookmarkEnd w:id="13"/>
    <w:bookmarkStart w:id="14" w:name="第3条成果の定義"/>
    <w:p>
      <w:pPr>
        <w:pStyle w:val="Heading2"/>
      </w:pPr>
      <w:r>
        <w:rPr>
          <w:rFonts w:hint="eastAsia"/>
        </w:rPr>
        <w:t xml:space="preserve">第3条(成果の定義)</w:t>
      </w:r>
    </w:p>
    <w:p>
      <w:pPr>
        <w:pStyle w:val="FirstParagraph"/>
      </w:pPr>
      <w:r>
        <w:rPr>
          <w:rFonts w:hint="eastAsia"/>
          <w:b/>
          <w:bCs/>
        </w:rPr>
        <w:t xml:space="preserve">【解説】</w:t>
      </w:r>
      <w:r>
        <w:t xml:space="preserve"> </w:t>
      </w:r>
      <w:r>
        <w:rPr>
          <w:rFonts w:hint="eastAsia"/>
        </w:rPr>
        <w:t xml:space="preserve">成果報酬型契約の中核条項。曖昧な定義は紛争の最大原因。具体的・客観的に定義。</w:t>
      </w:r>
    </w:p>
    <w:p>
      <w:pPr>
        <w:pStyle w:val="Compact"/>
        <w:numPr>
          <w:ilvl w:val="0"/>
          <w:numId w:val="1004"/>
        </w:numPr>
      </w:pPr>
      <w:r>
        <w:rPr>
          <w:rFonts w:hint="eastAsia"/>
        </w:rPr>
        <w:t xml:space="preserve">本契約において「成果」とは、別紙2「成果定義書」記載の事象が発生したことをいう。具体的には次のいずれかとする(該当するものを記載)。</w:t>
      </w:r>
    </w:p>
    <w:p>
      <w:pPr>
        <w:pStyle w:val="FirstParagraph"/>
      </w:pPr>
      <w:r>
        <w:rPr>
          <w:rFonts w:hint="eastAsia"/>
        </w:rPr>
        <w:t xml:space="preserve">【選択肢A:営業代行型】</w:t>
      </w:r>
      <w:r>
        <w:t xml:space="preserve"> </w:t>
      </w:r>
      <w:r>
        <w:rPr>
          <w:rFonts w:hint="eastAsia"/>
        </w:rPr>
        <w:t xml:space="preserve">本件業務における「成果」とは、乙が紹介又は獲得した新規顧客との間で、甲が令和[YYYY]年[MM]月[DD]日以降に商品[○○]又はサービス[○○]の売買契約・利用契約を成立させた場合(契約書締結時点又は注文書発行時点)をいう。</w:t>
      </w:r>
    </w:p>
    <w:p>
      <w:pPr>
        <w:pStyle w:val="BodyText"/>
      </w:pPr>
      <w:r>
        <w:rPr>
          <w:rFonts w:hint="eastAsia"/>
        </w:rPr>
        <w:t xml:space="preserve">【選択肢B:Webマーケティング型】</w:t>
      </w:r>
      <w:r>
        <w:t xml:space="preserve"> </w:t>
      </w:r>
      <w:r>
        <w:rPr>
          <w:rFonts w:hint="eastAsia"/>
        </w:rPr>
        <w:t xml:space="preserve">本件業務における「成果(コンバージョン)」とは、甲の指定するランディングページに乙の活動経由で到達したユーザーが、別紙2記載の所定のアクションを実行した場合をいう。成果はGoogle</w:t>
      </w:r>
      <w:r>
        <w:t xml:space="preserve"> Analytics </w:t>
      </w:r>
      <w:r>
        <w:rPr>
          <w:rFonts w:hint="eastAsia"/>
        </w:rPr>
        <w:t xml:space="preserve">4(GA4)等の計測ツールの計測値をもって認定する。</w:t>
      </w:r>
    </w:p>
    <w:p>
      <w:pPr>
        <w:pStyle w:val="BodyText"/>
      </w:pPr>
      <w:r>
        <w:rPr>
          <w:rFonts w:hint="eastAsia"/>
        </w:rPr>
        <w:t xml:space="preserve">【選択肢C:採用代行型】</w:t>
      </w:r>
      <w:r>
        <w:t xml:space="preserve"> </w:t>
      </w:r>
      <w:r>
        <w:rPr>
          <w:rFonts w:hint="eastAsia"/>
        </w:rPr>
        <w:t xml:space="preserve">本件業務における「成果」とは、乙が紹介した候補者が甲との間で雇用契約を締結し、入社後[3]ヶ月の試用期間満了をもって本採用となった場合をいう。試用期間中の退職又は本採用拒否があった場合、報酬は発生しない。</w:t>
      </w:r>
    </w:p>
    <w:p>
      <w:pPr>
        <w:pStyle w:val="BodyText"/>
      </w:pPr>
      <w:r>
        <w:rPr>
          <w:rFonts w:hint="eastAsia"/>
        </w:rPr>
        <w:t xml:space="preserve">【選択肢D:債権回収型】</w:t>
      </w:r>
      <w:r>
        <w:t xml:space="preserve"> </w:t>
      </w:r>
      <w:r>
        <w:rPr>
          <w:rFonts w:hint="eastAsia"/>
        </w:rPr>
        <w:t xml:space="preserve">本件業務における「成果」とは、乙の働きかけにより、別紙2記載の対象債権について、債務者から甲に対する現実の弁済(入金)があった場合をいう。成果は入金確認日に発生する。</w:t>
      </w:r>
    </w:p>
    <w:p>
      <w:pPr>
        <w:numPr>
          <w:ilvl w:val="0"/>
          <w:numId w:val="1005"/>
        </w:numPr>
      </w:pPr>
      <w:r>
        <w:rPr>
          <w:rFonts w:hint="eastAsia"/>
        </w:rPr>
        <w:t xml:space="preserve">成果の認定は、原則として甲乙協議の上で行う。客観的な指標(計測ツールの値・入金記録・契約成立記録等)が存在する場合は、当該指標を優先する。</w:t>
      </w:r>
    </w:p>
    <w:p>
      <w:pPr>
        <w:numPr>
          <w:ilvl w:val="0"/>
          <w:numId w:val="1005"/>
        </w:numPr>
      </w:pPr>
      <w:r>
        <w:rPr>
          <w:rFonts w:hint="eastAsia"/>
        </w:rPr>
        <w:t xml:space="preserve">成果認定に争いがある場合、第20条(協議事項)に従って解決する。</w:t>
      </w:r>
    </w:p>
    <w:p>
      <w:r>
        <w:pict>
          <v:rect style="width:0;height:1.5pt" o:hralign="center" o:hrstd="t" o:hr="t"/>
        </w:pict>
      </w:r>
    </w:p>
    <w:bookmarkEnd w:id="14"/>
    <w:bookmarkStart w:id="15" w:name="第4条報酬体系"/>
    <w:p>
      <w:pPr>
        <w:pStyle w:val="Heading2"/>
      </w:pPr>
      <w:r>
        <w:rPr>
          <w:rFonts w:hint="eastAsia"/>
        </w:rPr>
        <w:t xml:space="preserve">第4条(報酬体系)</w:t>
      </w:r>
    </w:p>
    <w:p>
      <w:pPr>
        <w:pStyle w:val="FirstParagraph"/>
      </w:pPr>
      <w:r>
        <w:rPr>
          <w:rFonts w:hint="eastAsia"/>
          <w:b/>
          <w:bCs/>
        </w:rPr>
        <w:t xml:space="preserve">【解説】</w:t>
      </w:r>
      <w:r>
        <w:t xml:space="preserve"> </w:t>
      </w:r>
      <w:r>
        <w:rPr>
          <w:rFonts w:hint="eastAsia"/>
        </w:rPr>
        <w:t xml:space="preserve">報酬体系の選択。委託者・受託者のリスク負担を明確化。フリーランス新法対応のため、受託者個人事業主の場合は60日支払いを遵守。</w:t>
      </w:r>
    </w:p>
    <w:p>
      <w:pPr>
        <w:pStyle w:val="Compact"/>
        <w:numPr>
          <w:ilvl w:val="0"/>
          <w:numId w:val="1006"/>
        </w:numPr>
      </w:pPr>
      <w:r>
        <w:rPr>
          <w:rFonts w:hint="eastAsia"/>
        </w:rPr>
        <w:t xml:space="preserve">甲は、乙に対し、本件業務の対価として、次の体系で報酬を支払う。次の3パターンから選択する(該当するものを採用)。</w:t>
      </w:r>
    </w:p>
    <w:p>
      <w:pPr>
        <w:pStyle w:val="FirstParagraph"/>
      </w:pPr>
      <w:r>
        <w:rPr>
          <w:rFonts w:hint="eastAsia"/>
        </w:rPr>
        <w:t xml:space="preserve">【パターン①:完全成果報酬型】</w:t>
      </w:r>
    </w:p>
    <w:p>
      <w:pPr>
        <w:pStyle w:val="Compact"/>
        <w:numPr>
          <w:ilvl w:val="0"/>
          <w:numId w:val="1007"/>
        </w:numPr>
      </w:pPr>
      <w:r>
        <w:rPr>
          <w:rFonts w:hint="eastAsia"/>
        </w:rPr>
        <w:t xml:space="preserve">基本料金:なし</w:t>
      </w:r>
    </w:p>
    <w:p>
      <w:pPr>
        <w:pStyle w:val="Compact"/>
        <w:numPr>
          <w:ilvl w:val="0"/>
          <w:numId w:val="1007"/>
        </w:numPr>
      </w:pPr>
      <w:r>
        <w:rPr>
          <w:rFonts w:hint="eastAsia"/>
        </w:rPr>
        <w:t xml:space="preserve">成果報酬:成果1件あたり金[○○,○○○]円(消費税別)、又は成果取引金額(税抜)の[10]%</w:t>
      </w:r>
    </w:p>
    <w:p>
      <w:pPr>
        <w:pStyle w:val="Compact"/>
        <w:numPr>
          <w:ilvl w:val="0"/>
          <w:numId w:val="1007"/>
        </w:numPr>
      </w:pPr>
      <w:r>
        <w:rPr>
          <w:rFonts w:hint="eastAsia"/>
        </w:rPr>
        <w:t xml:space="preserve">成果が発生しなかった場合、甲は乙に対し報酬を支払う義務を負わない。</w:t>
      </w:r>
    </w:p>
    <w:p>
      <w:pPr>
        <w:pStyle w:val="FirstParagraph"/>
      </w:pPr>
      <w:r>
        <w:rPr>
          <w:rFonts w:hint="eastAsia"/>
        </w:rPr>
        <w:t xml:space="preserve">【パターン②:固定+成果報酬型】</w:t>
      </w:r>
    </w:p>
    <w:p>
      <w:pPr>
        <w:pStyle w:val="Compact"/>
        <w:numPr>
          <w:ilvl w:val="0"/>
          <w:numId w:val="1008"/>
        </w:numPr>
      </w:pPr>
      <w:r>
        <w:rPr>
          <w:rFonts w:hint="eastAsia"/>
        </w:rPr>
        <w:t xml:space="preserve">基本料金:月額金[100,000]円(消費税別)</w:t>
      </w:r>
      <w:r>
        <w:t xml:space="preserve"> </w:t>
      </w:r>
      <w:r>
        <w:rPr>
          <w:rFonts w:hint="eastAsia"/>
        </w:rPr>
        <w:t xml:space="preserve">毎月末日締め・翌月末日までに支払</w:t>
      </w:r>
    </w:p>
    <w:p>
      <w:pPr>
        <w:pStyle w:val="Compact"/>
        <w:numPr>
          <w:ilvl w:val="0"/>
          <w:numId w:val="1008"/>
        </w:numPr>
      </w:pPr>
      <w:r>
        <w:rPr>
          <w:rFonts w:hint="eastAsia"/>
        </w:rPr>
        <w:t xml:space="preserve">成果報酬:成果1件あたり金[○○,○○○]円(消費税別)、又は成果取引金額(税抜)の[5]%</w:t>
      </w:r>
      <w:r>
        <w:t xml:space="preserve"> </w:t>
      </w:r>
      <w:r>
        <w:rPr>
          <w:rFonts w:hint="eastAsia"/>
        </w:rPr>
        <w:t xml:space="preserve">毎月末日締め・翌月末日までに支払</w:t>
      </w:r>
    </w:p>
    <w:p>
      <w:pPr>
        <w:pStyle w:val="FirstParagraph"/>
      </w:pPr>
      <w:r>
        <w:rPr>
          <w:rFonts w:hint="eastAsia"/>
        </w:rPr>
        <w:t xml:space="preserve">【パターン③:段階型成果報酬】</w:t>
      </w:r>
    </w:p>
    <w:p>
      <w:pPr>
        <w:pStyle w:val="Compact"/>
        <w:numPr>
          <w:ilvl w:val="0"/>
          <w:numId w:val="1009"/>
        </w:numPr>
      </w:pPr>
      <w:r>
        <w:rPr>
          <w:rFonts w:hint="eastAsia"/>
        </w:rPr>
        <w:t xml:space="preserve">基本料金:月額金[50,000]円(消費税別・基本料金がある場合)</w:t>
      </w:r>
    </w:p>
    <w:p>
      <w:pPr>
        <w:pStyle w:val="Compact"/>
        <w:numPr>
          <w:ilvl w:val="0"/>
          <w:numId w:val="1009"/>
        </w:numPr>
      </w:pPr>
      <w:r>
        <w:rPr>
          <w:rFonts w:hint="eastAsia"/>
        </w:rPr>
        <w:t xml:space="preserve">成果報酬:成果実績(月間)に応じて次のとおり段階的に支払う。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月間成果実績</w:t>
            </w:r>
          </w:p>
        </w:tc>
        <w:tc>
          <w:tcPr/>
          <w:p>
            <w:pPr>
              <w:pStyle w:val="Compact"/>
            </w:pPr>
            <w:r>
              <w:rPr>
                <w:rFonts w:hint="eastAsia"/>
              </w:rPr>
              <w:t xml:space="preserve">成果報酬</w:t>
            </w:r>
          </w:p>
        </w:tc>
      </w:tr>
      <w:tr>
        <w:tc>
          <w:tcPr/>
          <w:p>
            <w:pPr>
              <w:pStyle w:val="Compact"/>
            </w:pPr>
            <w:r>
              <w:rPr>
                <w:rFonts w:hint="eastAsia"/>
              </w:rPr>
              <w:t xml:space="preserve">100万円未満</w:t>
            </w:r>
          </w:p>
        </w:tc>
        <w:tc>
          <w:tcPr/>
          <w:p>
            <w:pPr>
              <w:pStyle w:val="Compact"/>
            </w:pPr>
            <w:r>
              <w:rPr>
                <w:rFonts w:hint="eastAsia"/>
              </w:rPr>
              <w:t xml:space="preserve">売上の[5]%</w:t>
            </w:r>
          </w:p>
        </w:tc>
      </w:tr>
      <w:tr>
        <w:tc>
          <w:tcPr/>
          <w:p>
            <w:pPr>
              <w:pStyle w:val="Compact"/>
            </w:pPr>
            <w:r>
              <w:rPr>
                <w:rFonts w:hint="eastAsia"/>
              </w:rPr>
              <w:t xml:space="preserve">100万円〜500万円</w:t>
            </w:r>
          </w:p>
        </w:tc>
        <w:tc>
          <w:tcPr/>
          <w:p>
            <w:pPr>
              <w:pStyle w:val="Compact"/>
            </w:pPr>
            <w:r>
              <w:rPr>
                <w:rFonts w:hint="eastAsia"/>
              </w:rPr>
              <w:t xml:space="preserve">売上の[7]%</w:t>
            </w:r>
          </w:p>
        </w:tc>
      </w:tr>
      <w:tr>
        <w:tc>
          <w:tcPr/>
          <w:p>
            <w:pPr>
              <w:pStyle w:val="Compact"/>
            </w:pPr>
            <w:r>
              <w:rPr>
                <w:rFonts w:hint="eastAsia"/>
              </w:rPr>
              <w:t xml:space="preserve">500万円〜1,000万円</w:t>
            </w:r>
          </w:p>
        </w:tc>
        <w:tc>
          <w:tcPr/>
          <w:p>
            <w:pPr>
              <w:pStyle w:val="Compact"/>
            </w:pPr>
            <w:r>
              <w:rPr>
                <w:rFonts w:hint="eastAsia"/>
              </w:rPr>
              <w:t xml:space="preserve">売上の[10]%</w:t>
            </w:r>
          </w:p>
        </w:tc>
      </w:tr>
      <w:tr>
        <w:tc>
          <w:tcPr/>
          <w:p>
            <w:pPr>
              <w:pStyle w:val="Compact"/>
            </w:pPr>
            <w:r>
              <w:rPr>
                <w:rFonts w:hint="eastAsia"/>
              </w:rPr>
              <w:t xml:space="preserve">1,000万円以上</w:t>
            </w:r>
          </w:p>
        </w:tc>
        <w:tc>
          <w:tcPr/>
          <w:p>
            <w:pPr>
              <w:pStyle w:val="Compact"/>
            </w:pPr>
            <w:r>
              <w:rPr>
                <w:rFonts w:hint="eastAsia"/>
              </w:rPr>
              <w:t xml:space="preserve">売上の[12]%</w:t>
            </w:r>
          </w:p>
        </w:tc>
      </w:tr>
    </w:tbl>
    <w:p>
      <w:pPr>
        <w:pStyle w:val="Compact"/>
        <w:numPr>
          <w:ilvl w:val="0"/>
          <w:numId w:val="1010"/>
        </w:numPr>
      </w:pPr>
      <w:r>
        <w:rPr>
          <w:rFonts w:hint="eastAsia"/>
        </w:rPr>
        <w:t xml:space="preserve">受託者(乙)が個人事業主の場合、フリーランス新法に基づき、検収完了後60日以内の支払いを遵守するものとする。</w:t>
      </w:r>
    </w:p>
    <w:p>
      <w:r>
        <w:pict>
          <v:rect style="width:0;height:1.5pt" o:hralign="center" o:hrstd="t" o:hr="t"/>
        </w:pict>
      </w:r>
    </w:p>
    <w:bookmarkEnd w:id="15"/>
    <w:bookmarkStart w:id="16" w:name="第5条報酬の支払時期方法"/>
    <w:p>
      <w:pPr>
        <w:pStyle w:val="Heading2"/>
      </w:pPr>
      <w:r>
        <w:rPr>
          <w:rFonts w:hint="eastAsia"/>
        </w:rPr>
        <w:t xml:space="preserve">第5条(報酬の支払時期・方法)</w:t>
      </w:r>
    </w:p>
    <w:p>
      <w:pPr>
        <w:pStyle w:val="FirstParagraph"/>
      </w:pPr>
      <w:r>
        <w:rPr>
          <w:rFonts w:hint="eastAsia"/>
          <w:b/>
          <w:bCs/>
        </w:rPr>
        <w:t xml:space="preserve">【解説】</w:t>
      </w:r>
      <w:r>
        <w:t xml:space="preserve"> </w:t>
      </w:r>
      <w:r>
        <w:rPr>
          <w:rFonts w:hint="eastAsia"/>
        </w:rPr>
        <w:t xml:space="preserve">支払時期を明示。フリーランス新法対応のため、検収後60日以内を厳守。</w:t>
      </w:r>
    </w:p>
    <w:p>
      <w:pPr>
        <w:pStyle w:val="Compact"/>
        <w:numPr>
          <w:ilvl w:val="0"/>
          <w:numId w:val="1011"/>
        </w:numPr>
      </w:pPr>
      <w:r>
        <w:rPr>
          <w:rFonts w:hint="eastAsia"/>
        </w:rPr>
        <w:t xml:space="preserve">報酬の支払時期及び方法は、次のとおりとする。</w:t>
      </w:r>
    </w:p>
    <w:p>
      <w:pPr>
        <w:pStyle w:val="Compact"/>
        <w:numPr>
          <w:ilvl w:val="0"/>
          <w:numId w:val="1012"/>
        </w:numPr>
      </w:pPr>
      <w:r>
        <w:rPr>
          <w:rFonts w:hint="eastAsia"/>
          <w:b/>
          <w:bCs/>
        </w:rPr>
        <w:t xml:space="preserve">基本料金</w:t>
      </w:r>
      <w:r>
        <w:rPr>
          <w:rFonts w:hint="eastAsia"/>
        </w:rPr>
        <w:t xml:space="preserve">(該当する場合):毎月末日締め、翌月末日までに支払</w:t>
      </w:r>
    </w:p>
    <w:p>
      <w:pPr>
        <w:pStyle w:val="Compact"/>
        <w:numPr>
          <w:ilvl w:val="0"/>
          <w:numId w:val="1012"/>
        </w:numPr>
      </w:pPr>
      <w:r>
        <w:rPr>
          <w:rFonts w:hint="eastAsia"/>
          <w:b/>
          <w:bCs/>
        </w:rPr>
        <w:t xml:space="preserve">成果報酬</w:t>
      </w:r>
      <w:r>
        <w:rPr>
          <w:rFonts w:hint="eastAsia"/>
        </w:rPr>
        <w:t xml:space="preserve">:成果発生月の末日締め、翌月末日までに支払</w:t>
      </w:r>
    </w:p>
    <w:p>
      <w:pPr>
        <w:numPr>
          <w:ilvl w:val="0"/>
          <w:numId w:val="1013"/>
        </w:numPr>
      </w:pPr>
      <w:r>
        <w:rPr>
          <w:rFonts w:hint="eastAsia"/>
        </w:rPr>
        <w:t xml:space="preserve">報酬の支払いは、乙の請求書受領後、甲が成果を確認・承認した上で、上記の支払期日までに乙の指定する銀行口座に振込みの方法により行う。</w:t>
      </w:r>
    </w:p>
    <w:p>
      <w:pPr>
        <w:numPr>
          <w:ilvl w:val="0"/>
          <w:numId w:val="1013"/>
        </w:numPr>
      </w:pPr>
      <w:r>
        <w:rPr>
          <w:rFonts w:hint="eastAsia"/>
        </w:rPr>
        <w:t xml:space="preserve">振込手数料は甲の負担とする。</w:t>
      </w:r>
    </w:p>
    <w:p>
      <w:pPr>
        <w:numPr>
          <w:ilvl w:val="0"/>
          <w:numId w:val="1013"/>
        </w:numPr>
      </w:pPr>
      <w:r>
        <w:rPr>
          <w:rFonts w:hint="eastAsia"/>
        </w:rPr>
        <w:t xml:space="preserve">受託者(乙)が個人事業主の場合、フリーランス新法に基づき、検収完了後60日以内の支払いを遵守する。</w:t>
      </w:r>
    </w:p>
    <w:p>
      <w:r>
        <w:pict>
          <v:rect style="width:0;height:1.5pt" o:hralign="center" o:hrstd="t" o:hr="t"/>
        </w:pict>
      </w:r>
    </w:p>
    <w:bookmarkEnd w:id="16"/>
    <w:bookmarkStart w:id="17" w:name="第6条成果取消しキャンセル時の取扱い"/>
    <w:p>
      <w:pPr>
        <w:pStyle w:val="Heading2"/>
      </w:pPr>
      <w:r>
        <w:rPr>
          <w:rFonts w:hint="eastAsia"/>
        </w:rPr>
        <w:t xml:space="preserve">第6条(成果取消し・キャンセル時の取扱い)</w:t>
      </w:r>
    </w:p>
    <w:p>
      <w:pPr>
        <w:pStyle w:val="FirstParagraph"/>
      </w:pPr>
      <w:r>
        <w:rPr>
          <w:rFonts w:hint="eastAsia"/>
          <w:b/>
          <w:bCs/>
        </w:rPr>
        <w:t xml:space="preserve">【解説】</w:t>
      </w:r>
      <w:r>
        <w:t xml:space="preserve"> </w:t>
      </w:r>
      <w:r>
        <w:rPr>
          <w:rFonts w:hint="eastAsia"/>
        </w:rPr>
        <w:t xml:space="preserve">成果報酬型契約特有の重要条項。成果取消し時の報酬還付を明示し、後の紛争を予防。</w:t>
      </w:r>
    </w:p>
    <w:p>
      <w:pPr>
        <w:pStyle w:val="Compact"/>
        <w:numPr>
          <w:ilvl w:val="0"/>
          <w:numId w:val="1014"/>
        </w:numPr>
      </w:pPr>
      <w:r>
        <w:rPr>
          <w:rFonts w:hint="eastAsia"/>
        </w:rPr>
        <w:t xml:space="preserve">第3条により成果として認定された取引が、次の各号に該当する事由により取消し・キャンセル・解約された場合、当該成果に対応する報酬は発生しないものとする。既に支払われている場合、乙は甲に対し当該報酬を返還する。</w:t>
      </w:r>
    </w:p>
    <w:p>
      <w:pPr>
        <w:pStyle w:val="Compact"/>
        <w:numPr>
          <w:ilvl w:val="0"/>
          <w:numId w:val="1015"/>
        </w:numPr>
      </w:pPr>
      <w:r>
        <w:rPr>
          <w:rFonts w:hint="eastAsia"/>
        </w:rPr>
        <w:t xml:space="preserve">顧客からのキャンセル(クーリングオフ含む・特定商取引法等の法定キャンセル含む)</w:t>
      </w:r>
    </w:p>
    <w:p>
      <w:pPr>
        <w:pStyle w:val="Compact"/>
        <w:numPr>
          <w:ilvl w:val="0"/>
          <w:numId w:val="1015"/>
        </w:numPr>
      </w:pPr>
      <w:r>
        <w:rPr>
          <w:rFonts w:hint="eastAsia"/>
        </w:rPr>
        <w:t xml:space="preserve">顧客の支払不能・倒産</w:t>
      </w:r>
    </w:p>
    <w:p>
      <w:pPr>
        <w:pStyle w:val="Compact"/>
        <w:numPr>
          <w:ilvl w:val="0"/>
          <w:numId w:val="1015"/>
        </w:numPr>
      </w:pPr>
      <w:r>
        <w:rPr>
          <w:rFonts w:hint="eastAsia"/>
        </w:rPr>
        <w:t xml:space="preserve">雇用契約の試用期間中の退職(採用代行の場合)</w:t>
      </w:r>
    </w:p>
    <w:p>
      <w:pPr>
        <w:pStyle w:val="Compact"/>
        <w:numPr>
          <w:ilvl w:val="0"/>
          <w:numId w:val="1015"/>
        </w:numPr>
      </w:pPr>
      <w:r>
        <w:rPr>
          <w:rFonts w:hint="eastAsia"/>
        </w:rPr>
        <w:t xml:space="preserve">商品・サービスの返品・返金</w:t>
      </w:r>
    </w:p>
    <w:p>
      <w:pPr>
        <w:pStyle w:val="Compact"/>
        <w:numPr>
          <w:ilvl w:val="0"/>
          <w:numId w:val="1015"/>
        </w:numPr>
      </w:pPr>
      <w:r>
        <w:rPr>
          <w:rFonts w:hint="eastAsia"/>
        </w:rPr>
        <w:t xml:space="preserve">その他、甲乙の責めに帰さない事由</w:t>
      </w:r>
    </w:p>
    <w:p>
      <w:pPr>
        <w:numPr>
          <w:ilvl w:val="0"/>
          <w:numId w:val="1016"/>
        </w:numPr>
      </w:pPr>
      <w:r>
        <w:rPr>
          <w:rFonts w:hint="eastAsia"/>
        </w:rPr>
        <w:t xml:space="preserve">取消し・キャンセルが乙の責めによる場合(虚偽の説明、誇大広告等の法令違反、契約上の善管注意義務違反等)、乙は当該事由に応じた損害賠償の責任を負う。</w:t>
      </w:r>
    </w:p>
    <w:p>
      <w:pPr>
        <w:numPr>
          <w:ilvl w:val="0"/>
          <w:numId w:val="1016"/>
        </w:numPr>
      </w:pPr>
      <w:r>
        <w:rPr>
          <w:rFonts w:hint="eastAsia"/>
        </w:rPr>
        <w:t xml:space="preserve">成果認定後[3]ヶ月以内の取消しは、本条による還付対象とする。3ヶ月経過後の取消しについては、別途協議する。</w:t>
      </w:r>
    </w:p>
    <w:p>
      <w:r>
        <w:pict>
          <v:rect style="width:0;height:1.5pt" o:hralign="center" o:hrstd="t" o:hr="t"/>
        </w:pict>
      </w:r>
    </w:p>
    <w:bookmarkEnd w:id="17"/>
    <w:bookmarkStart w:id="18" w:name="第7条報告義務"/>
    <w:p>
      <w:pPr>
        <w:pStyle w:val="Heading2"/>
      </w:pPr>
      <w:r>
        <w:rPr>
          <w:rFonts w:hint="eastAsia"/>
        </w:rPr>
        <w:t xml:space="preserve">第7条(報告義務)</w:t>
      </w:r>
    </w:p>
    <w:p>
      <w:pPr>
        <w:pStyle w:val="FirstParagraph"/>
      </w:pPr>
      <w:r>
        <w:rPr>
          <w:rFonts w:hint="eastAsia"/>
          <w:b/>
          <w:bCs/>
        </w:rPr>
        <w:t xml:space="preserve">【解説】</w:t>
      </w:r>
      <w:r>
        <w:t xml:space="preserve"> </w:t>
      </w:r>
      <w:r>
        <w:rPr>
          <w:rFonts w:hint="eastAsia"/>
        </w:rPr>
        <w:t xml:space="preserve">受託者の活動状況・成果報告の義務。委託者・受託者双方の情報共有を確保。</w:t>
      </w:r>
    </w:p>
    <w:p>
      <w:pPr>
        <w:pStyle w:val="Compact"/>
        <w:numPr>
          <w:ilvl w:val="0"/>
          <w:numId w:val="1017"/>
        </w:numPr>
      </w:pPr>
      <w:r>
        <w:rPr>
          <w:rFonts w:hint="eastAsia"/>
        </w:rPr>
        <w:t xml:space="preserve">乙は、甲に対し、本件業務の実施状況及び成果実績について、次のとおり報告する。</w:t>
      </w:r>
    </w:p>
    <w:p>
      <w:pPr>
        <w:pStyle w:val="Compact"/>
        <w:numPr>
          <w:ilvl w:val="0"/>
          <w:numId w:val="1018"/>
        </w:numPr>
      </w:pPr>
      <w:r>
        <w:rPr>
          <w:rFonts w:hint="eastAsia"/>
          <w:b/>
          <w:bCs/>
        </w:rPr>
        <w:t xml:space="preserve">月次報告</w:t>
      </w:r>
      <w:r>
        <w:rPr>
          <w:rFonts w:hint="eastAsia"/>
        </w:rPr>
        <w:t xml:space="preserve">:毎月末日締めで、当月の業務実施概要・成果実績・課題・改善提案を翌月[10]営業日以内に提出</w:t>
      </w:r>
    </w:p>
    <w:p>
      <w:pPr>
        <w:pStyle w:val="Compact"/>
        <w:numPr>
          <w:ilvl w:val="0"/>
          <w:numId w:val="1018"/>
        </w:numPr>
      </w:pPr>
      <w:r>
        <w:rPr>
          <w:rFonts w:hint="eastAsia"/>
          <w:b/>
          <w:bCs/>
        </w:rPr>
        <w:t xml:space="preserve">緊急報告</w:t>
      </w:r>
      <w:r>
        <w:rPr>
          <w:rFonts w:hint="eastAsia"/>
        </w:rPr>
        <w:t xml:space="preserve">:法令違反のリスク、顧客クレーム、業務上の重大な問題発生時、24時間以内</w:t>
      </w:r>
    </w:p>
    <w:p>
      <w:pPr>
        <w:pStyle w:val="Compact"/>
        <w:numPr>
          <w:ilvl w:val="0"/>
          <w:numId w:val="1019"/>
        </w:numPr>
      </w:pPr>
      <w:r>
        <w:rPr>
          <w:rFonts w:hint="eastAsia"/>
        </w:rPr>
        <w:t xml:space="preserve">報告事項</w:t>
      </w:r>
    </w:p>
    <w:p>
      <w:pPr>
        <w:pStyle w:val="Compact"/>
        <w:numPr>
          <w:ilvl w:val="0"/>
          <w:numId w:val="1020"/>
        </w:numPr>
      </w:pPr>
      <w:r>
        <w:rPr>
          <w:rFonts w:hint="eastAsia"/>
        </w:rPr>
        <w:t xml:space="preserve">営業活動の概要(アプローチ件数・商談件数・面談件数等)</w:t>
      </w:r>
    </w:p>
    <w:p>
      <w:pPr>
        <w:pStyle w:val="Compact"/>
        <w:numPr>
          <w:ilvl w:val="0"/>
          <w:numId w:val="1020"/>
        </w:numPr>
      </w:pPr>
      <w:r>
        <w:rPr>
          <w:rFonts w:hint="eastAsia"/>
        </w:rPr>
        <w:t xml:space="preserve">成果実績(成約件数・成約金額・コンバージョン数等)</w:t>
      </w:r>
    </w:p>
    <w:p>
      <w:pPr>
        <w:pStyle w:val="Compact"/>
        <w:numPr>
          <w:ilvl w:val="0"/>
          <w:numId w:val="1020"/>
        </w:numPr>
      </w:pPr>
      <w:r>
        <w:rPr>
          <w:rFonts w:hint="eastAsia"/>
        </w:rPr>
        <w:t xml:space="preserve">課題・改善提案</w:t>
      </w:r>
    </w:p>
    <w:p>
      <w:pPr>
        <w:pStyle w:val="Compact"/>
        <w:numPr>
          <w:ilvl w:val="0"/>
          <w:numId w:val="1020"/>
        </w:numPr>
      </w:pPr>
      <w:r>
        <w:rPr>
          <w:rFonts w:hint="eastAsia"/>
        </w:rPr>
        <w:t xml:space="preserve">次月の活動計画</w:t>
      </w:r>
    </w:p>
    <w:p>
      <w:pPr>
        <w:pStyle w:val="Compact"/>
        <w:numPr>
          <w:ilvl w:val="0"/>
          <w:numId w:val="1021"/>
        </w:numPr>
      </w:pPr>
      <w:r>
        <w:rPr>
          <w:rFonts w:hint="eastAsia"/>
        </w:rPr>
        <w:t xml:space="preserve">報告書のフォーマットは、別途甲乙協議による。</w:t>
      </w:r>
    </w:p>
    <w:p>
      <w:r>
        <w:pict>
          <v:rect style="width:0;height:1.5pt" o:hralign="center" o:hrstd="t" o:hr="t"/>
        </w:pict>
      </w:r>
    </w:p>
    <w:bookmarkEnd w:id="18"/>
    <w:bookmarkStart w:id="19" w:name="第8条法令遵守と表示の責任"/>
    <w:p>
      <w:pPr>
        <w:pStyle w:val="Heading2"/>
      </w:pPr>
      <w:r>
        <w:rPr>
          <w:rFonts w:hint="eastAsia"/>
        </w:rPr>
        <w:t xml:space="preserve">第8条(法令遵守と表示の責任)</w:t>
      </w:r>
    </w:p>
    <w:p>
      <w:pPr>
        <w:pStyle w:val="FirstParagraph"/>
      </w:pPr>
      <w:r>
        <w:rPr>
          <w:rFonts w:hint="eastAsia"/>
          <w:b/>
          <w:bCs/>
        </w:rPr>
        <w:t xml:space="preserve">【解説】</w:t>
      </w:r>
      <w:r>
        <w:t xml:space="preserve"> </w:t>
      </w:r>
      <w:r>
        <w:rPr>
          <w:rFonts w:hint="eastAsia"/>
        </w:rPr>
        <w:t xml:space="preserve">成果報酬型業務委託特有の重要条項。受託者の誇大広告・違法行為リスクから委託者を保護。</w:t>
      </w:r>
    </w:p>
    <w:p>
      <w:pPr>
        <w:numPr>
          <w:ilvl w:val="0"/>
          <w:numId w:val="1022"/>
        </w:numPr>
      </w:pPr>
      <w:r>
        <w:rPr>
          <w:rFonts w:hint="eastAsia"/>
        </w:rPr>
        <w:t xml:space="preserve">乙は、本件業務の遂行にあたり、景品表示法、医薬品医療機器等法(薬機法)、特定商取引法、消費者契約法、金融商品取引法、特定電子メール法、個人情報保護法その他関連法令を遵守する。</w:t>
      </w:r>
    </w:p>
    <w:p>
      <w:pPr>
        <w:numPr>
          <w:ilvl w:val="0"/>
          <w:numId w:val="1022"/>
        </w:numPr>
      </w:pPr>
      <w:r>
        <w:rPr>
          <w:rFonts w:hint="eastAsia"/>
        </w:rPr>
        <w:t xml:space="preserve">乙は、本件業務に関し、甲が提供する商品・サービスについて、虚偽の説明、誇大な表示、薬機法上の効能効果の不当表示、誇大広告等を行ってはならない。広告・販促物・SNS投稿・LP等を作成する場合、甲の事前承諾を得るものとする。</w:t>
      </w:r>
    </w:p>
    <w:p>
      <w:pPr>
        <w:numPr>
          <w:ilvl w:val="0"/>
          <w:numId w:val="1022"/>
        </w:numPr>
      </w:pPr>
      <w:r>
        <w:rPr>
          <w:rFonts w:hint="eastAsia"/>
        </w:rPr>
        <w:t xml:space="preserve">第三者から本件業務に関する商品・サービスの表示に起因する苦情、措置命令、損害賠償請求等があった場合、原因に応じて次のとおり責任を負う。</w:t>
      </w:r>
    </w:p>
    <w:p>
      <w:pPr>
        <w:pStyle w:val="Compact"/>
        <w:numPr>
          <w:ilvl w:val="0"/>
          <w:numId w:val="1023"/>
        </w:numPr>
      </w:pPr>
      <w:r>
        <w:rPr>
          <w:rFonts w:hint="eastAsia"/>
        </w:rPr>
        <w:t xml:space="preserve">甲提供情報の不正確性に起因する場合:甲の責任</w:t>
      </w:r>
    </w:p>
    <w:p>
      <w:pPr>
        <w:pStyle w:val="Compact"/>
        <w:numPr>
          <w:ilvl w:val="0"/>
          <w:numId w:val="1023"/>
        </w:numPr>
      </w:pPr>
      <w:r>
        <w:rPr>
          <w:rFonts w:hint="eastAsia"/>
        </w:rPr>
        <w:t xml:space="preserve">乙独自の表現に起因する場合:乙の責任(ただし甲が事前承諾したものは協議)</w:t>
      </w:r>
    </w:p>
    <w:p>
      <w:pPr>
        <w:pStyle w:val="Compact"/>
        <w:numPr>
          <w:ilvl w:val="0"/>
          <w:numId w:val="1023"/>
        </w:numPr>
      </w:pPr>
      <w:r>
        <w:rPr>
          <w:rFonts w:hint="eastAsia"/>
        </w:rPr>
        <w:t xml:space="preserve">双方の責任が混在する場合:甲乙協議</w:t>
      </w:r>
    </w:p>
    <w:p>
      <w:pPr>
        <w:pStyle w:val="Compact"/>
        <w:numPr>
          <w:ilvl w:val="0"/>
          <w:numId w:val="1024"/>
        </w:numPr>
      </w:pPr>
      <w:r>
        <w:rPr>
          <w:rFonts w:hint="eastAsia"/>
        </w:rPr>
        <w:t xml:space="preserve">規制業種(化粧品・健康食品・金融商品・医療・不動産等)に該当する場合、乙は業種特有の規制を事前に確認し、甲に必要な情報を提供する。</w:t>
      </w:r>
    </w:p>
    <w:p>
      <w:r>
        <w:pict>
          <v:rect style="width:0;height:1.5pt" o:hralign="center" o:hrstd="t" o:hr="t"/>
        </w:pict>
      </w:r>
    </w:p>
    <w:bookmarkEnd w:id="19"/>
    <w:bookmarkStart w:id="20" w:name="第9条競業避止"/>
    <w:p>
      <w:pPr>
        <w:pStyle w:val="Heading2"/>
      </w:pPr>
      <w:r>
        <w:rPr>
          <w:rFonts w:hint="eastAsia"/>
        </w:rPr>
        <w:t xml:space="preserve">第9条(競業避止)</w:t>
      </w:r>
    </w:p>
    <w:p>
      <w:pPr>
        <w:pStyle w:val="FirstParagraph"/>
      </w:pPr>
      <w:r>
        <w:rPr>
          <w:rFonts w:hint="eastAsia"/>
          <w:b/>
          <w:bCs/>
        </w:rPr>
        <w:t xml:space="preserve">【解説】</w:t>
      </w:r>
      <w:r>
        <w:t xml:space="preserve"> </w:t>
      </w:r>
      <w:r>
        <w:rPr>
          <w:rFonts w:hint="eastAsia"/>
        </w:rPr>
        <w:t xml:space="preserve">受託者の競合他社業務制限。職業選択の自由との関係で過度な制限は無効リスクあり。任意条項。</w:t>
      </w:r>
    </w:p>
    <w:p>
      <w:pPr>
        <w:pStyle w:val="BodyText"/>
      </w:pPr>
      <w:r>
        <w:rPr>
          <w:rFonts w:hint="eastAsia"/>
        </w:rPr>
        <w:t xml:space="preserve">【任意条項】</w:t>
      </w:r>
    </w:p>
    <w:p>
      <w:pPr>
        <w:numPr>
          <w:ilvl w:val="0"/>
          <w:numId w:val="1025"/>
        </w:numPr>
      </w:pPr>
      <w:r>
        <w:rPr>
          <w:rFonts w:hint="eastAsia"/>
        </w:rPr>
        <w:t xml:space="preserve">乙は、本契約期間中、甲の事前の書面又は電磁的方法による承諾なく、別紙3「競合他社リスト」記載の甲の競合他社に対し、本件業務と同一範囲の業務を提供してはならない。</w:t>
      </w:r>
    </w:p>
    <w:p>
      <w:pPr>
        <w:numPr>
          <w:ilvl w:val="0"/>
          <w:numId w:val="1025"/>
        </w:numPr>
      </w:pPr>
      <w:r>
        <w:rPr>
          <w:rFonts w:hint="eastAsia"/>
        </w:rPr>
        <w:t xml:space="preserve">本条の規定は、本契約終了後[6]ヶ月間有効に存続する。</w:t>
      </w:r>
    </w:p>
    <w:p>
      <w:pPr>
        <w:pStyle w:val="FirstParagraph"/>
      </w:pPr>
      <w:r>
        <w:rPr>
          <w:rFonts w:hint="eastAsia"/>
        </w:rPr>
        <w:t xml:space="preserve">(競業避止は職業選択の自由との関係で、期間・範囲・対象を合理的に設定してください。不要な場合は本条を削除可能。)</w:t>
      </w:r>
    </w:p>
    <w:p>
      <w:r>
        <w:pict>
          <v:rect style="width:0;height:1.5pt" o:hralign="center" o:hrstd="t" o:hr="t"/>
        </w:pict>
      </w:r>
    </w:p>
    <w:bookmarkEnd w:id="20"/>
    <w:bookmarkStart w:id="21" w:name="第10条機密保持"/>
    <w:p>
      <w:pPr>
        <w:pStyle w:val="Heading2"/>
      </w:pPr>
      <w:r>
        <w:rPr>
          <w:rFonts w:hint="eastAsia"/>
        </w:rPr>
        <w:t xml:space="preserve">第10条(機密保持)</w:t>
      </w:r>
    </w:p>
    <w:p>
      <w:pPr>
        <w:pStyle w:val="FirstParagraph"/>
      </w:pPr>
      <w:r>
        <w:rPr>
          <w:rFonts w:hint="eastAsia"/>
          <w:b/>
          <w:bCs/>
        </w:rPr>
        <w:t xml:space="preserve">【解説】</w:t>
      </w:r>
      <w:r>
        <w:t xml:space="preserve"> </w:t>
      </w:r>
      <w:r>
        <w:rPr>
          <w:rFonts w:hint="eastAsia"/>
        </w:rPr>
        <w:t xml:space="preserve">業務遂行で扱う未公開情報の秘密保持を定めます。</w:t>
      </w:r>
    </w:p>
    <w:p>
      <w:pPr>
        <w:numPr>
          <w:ilvl w:val="0"/>
          <w:numId w:val="1026"/>
        </w:numPr>
      </w:pPr>
      <w:r>
        <w:rPr>
          <w:rFonts w:hint="eastAsia"/>
        </w:rPr>
        <w:t xml:space="preserve">甲及び乙は、本契約の履行に関連して相手方から開示された一切の情報(本契約の存在及び内容、顧客情報、技術情報、ノウハウ、企業秘密等を含む。以下「秘密情報」)を、本契約の目的以外に使用してはならず、相手方の事前の書面又は電磁的方法による承諾なく第三者に開示又は漏えいしてはならない。</w:t>
      </w:r>
    </w:p>
    <w:p>
      <w:pPr>
        <w:numPr>
          <w:ilvl w:val="0"/>
          <w:numId w:val="1026"/>
        </w:numPr>
      </w:pPr>
      <w:r>
        <w:rPr>
          <w:rFonts w:hint="eastAsia"/>
        </w:rPr>
        <w:t xml:space="preserve">本条の規定は、本契約終了後[3]年間有効に存続する。</w:t>
      </w:r>
    </w:p>
    <w:p>
      <w:pPr>
        <w:numPr>
          <w:ilvl w:val="0"/>
          <w:numId w:val="1026"/>
        </w:numPr>
      </w:pPr>
      <w:r>
        <w:rPr>
          <w:rFonts w:hint="eastAsia"/>
        </w:rPr>
        <w:t xml:space="preserve">法令又は規制当局の要求により開示が義務付けられる場合、専門家(弁護士・税理士等)への開示の場合は、本条の制限を受けない。</w:t>
      </w:r>
    </w:p>
    <w:p>
      <w:r>
        <w:pict>
          <v:rect style="width:0;height:1.5pt" o:hralign="center" o:hrstd="t" o:hr="t"/>
        </w:pict>
      </w:r>
    </w:p>
    <w:bookmarkEnd w:id="21"/>
    <w:bookmarkStart w:id="22" w:name="第11条個人情報の取扱い"/>
    <w:p>
      <w:pPr>
        <w:pStyle w:val="Heading2"/>
      </w:pPr>
      <w:r>
        <w:rPr>
          <w:rFonts w:hint="eastAsia"/>
        </w:rPr>
        <w:t xml:space="preserve">第11条(個人情報の取扱い)</w:t>
      </w:r>
    </w:p>
    <w:p>
      <w:pPr>
        <w:pStyle w:val="FirstParagraph"/>
      </w:pPr>
      <w:r>
        <w:rPr>
          <w:rFonts w:hint="eastAsia"/>
          <w:b/>
          <w:bCs/>
        </w:rPr>
        <w:t xml:space="preserve">【解説】</w:t>
      </w:r>
      <w:r>
        <w:t xml:space="preserve"> </w:t>
      </w:r>
      <w:r>
        <w:rPr>
          <w:rFonts w:hint="eastAsia"/>
        </w:rPr>
        <w:t xml:space="preserve">顧客情報・候補者情報等の個人情報の取扱い。営業代行・採用代行等で特に重要。</w:t>
      </w:r>
    </w:p>
    <w:p>
      <w:pPr>
        <w:numPr>
          <w:ilvl w:val="0"/>
          <w:numId w:val="1027"/>
        </w:numPr>
      </w:pPr>
      <w:r>
        <w:rPr>
          <w:rFonts w:hint="eastAsia"/>
        </w:rPr>
        <w:t xml:space="preserve">甲及び乙は、本件業務の遂行に関連して取得・取り扱う個人情報(個人情報の保護に関する法律第2条第1項に定める個人情報)について、同法その他関連法令を遵守し、適切に取り扱う。</w:t>
      </w:r>
    </w:p>
    <w:p>
      <w:pPr>
        <w:numPr>
          <w:ilvl w:val="0"/>
          <w:numId w:val="1027"/>
        </w:numPr>
      </w:pPr>
      <w:r>
        <w:rPr>
          <w:rFonts w:hint="eastAsia"/>
        </w:rPr>
        <w:t xml:space="preserve">乙が本件業務に関連して個人情報を取得した場合、甲の指示に従って取り扱うものとし、本件業務以外の目的に使用してはならない。</w:t>
      </w:r>
    </w:p>
    <w:p>
      <w:pPr>
        <w:numPr>
          <w:ilvl w:val="0"/>
          <w:numId w:val="1027"/>
        </w:numPr>
      </w:pPr>
      <w:r>
        <w:rPr>
          <w:rFonts w:hint="eastAsia"/>
        </w:rPr>
        <w:t xml:space="preserve">個人情報の漏えい、滅失又は毀損の事故が発生し、又はそのおそれが生じた場合、当該事故が発生した当事者は、直ちに相手方に通知し、被害拡大防止のための適切な措置を講じる。</w:t>
      </w:r>
    </w:p>
    <w:p>
      <w:pPr>
        <w:numPr>
          <w:ilvl w:val="0"/>
          <w:numId w:val="1027"/>
        </w:numPr>
      </w:pPr>
      <w:r>
        <w:rPr>
          <w:rFonts w:hint="eastAsia"/>
        </w:rPr>
        <w:t xml:space="preserve">本契約終了後、乙は、本件業務に関連して取得した個人情報を、合理的な期間内に削除又は返還する(法令上保存義務がある場合を除く)。</w:t>
      </w:r>
    </w:p>
    <w:p>
      <w:r>
        <w:pict>
          <v:rect style="width:0;height:1.5pt" o:hralign="center" o:hrstd="t" o:hr="t"/>
        </w:pict>
      </w:r>
    </w:p>
    <w:bookmarkEnd w:id="22"/>
    <w:bookmarkStart w:id="23" w:name="第12条反社会的勢力の排除"/>
    <w:p>
      <w:pPr>
        <w:pStyle w:val="Heading2"/>
      </w:pPr>
      <w:r>
        <w:rPr>
          <w:rFonts w:hint="eastAsia"/>
        </w:rPr>
        <w:t xml:space="preserve">第12条(反社会的勢力の排除)</w:t>
      </w:r>
    </w:p>
    <w:p>
      <w:pPr>
        <w:pStyle w:val="FirstParagraph"/>
      </w:pPr>
      <w:r>
        <w:rPr>
          <w:rFonts w:hint="eastAsia"/>
          <w:b/>
          <w:bCs/>
        </w:rPr>
        <w:t xml:space="preserve">【解説】</w:t>
      </w:r>
      <w:r>
        <w:t xml:space="preserve"> </w:t>
      </w:r>
      <w:r>
        <w:rPr>
          <w:rFonts w:hint="eastAsia"/>
        </w:rPr>
        <w:t xml:space="preserve">全国の暴排条例に対応する条項。違反時には催告なしの解除権が認められます。</w:t>
      </w:r>
    </w:p>
    <w:p>
      <w:pPr>
        <w:numPr>
          <w:ilvl w:val="0"/>
          <w:numId w:val="1028"/>
        </w:numPr>
      </w:pPr>
      <w:r>
        <w:rPr>
          <w:rFonts w:hint="eastAsia"/>
        </w:rPr>
        <w:t xml:space="preserve">甲及び乙は、現在及び将来にわたり、自己、自己の役員、従業員その他自己の関係者が、暴力団、暴力団員、暴力団員でなくなった時から5年を経過しない者、暴力団準構成員、暴力団関係企業、総会屋等、社会運動等標ぼうゴロ又は特殊知能暴力集団等、その他これらに準ずる者(以下「反社会的勢力」)に該当しないことを表明し、保証する。</w:t>
      </w:r>
    </w:p>
    <w:p>
      <w:pPr>
        <w:numPr>
          <w:ilvl w:val="0"/>
          <w:numId w:val="1028"/>
        </w:numPr>
      </w:pPr>
      <w:r>
        <w:rPr>
          <w:rFonts w:hint="eastAsia"/>
        </w:rPr>
        <w:t xml:space="preserve">甲又は乙が前項の表明保証に違反した場合、相手方は何らの催告を要せず、本契約を直ちに解除することができる。</w:t>
      </w:r>
    </w:p>
    <w:p>
      <w:r>
        <w:pict>
          <v:rect style="width:0;height:1.5pt" o:hralign="center" o:hrstd="t" o:hr="t"/>
        </w:pict>
      </w:r>
    </w:p>
    <w:bookmarkEnd w:id="23"/>
    <w:bookmarkStart w:id="24" w:name="第13条契約期間及び解除"/>
    <w:p>
      <w:pPr>
        <w:pStyle w:val="Heading2"/>
      </w:pPr>
      <w:r>
        <w:rPr>
          <w:rFonts w:hint="eastAsia"/>
        </w:rPr>
        <w:t xml:space="preserve">第13条(契約期間及び解除)</w:t>
      </w:r>
    </w:p>
    <w:p>
      <w:pPr>
        <w:pStyle w:val="FirstParagraph"/>
      </w:pPr>
      <w:r>
        <w:rPr>
          <w:rFonts w:hint="eastAsia"/>
          <w:b/>
          <w:bCs/>
        </w:rPr>
        <w:t xml:space="preserve">【解説】</w:t>
      </w:r>
      <w:r>
        <w:t xml:space="preserve"> </w:t>
      </w:r>
      <w:r>
        <w:rPr>
          <w:rFonts w:hint="eastAsia"/>
        </w:rPr>
        <w:t xml:space="preserve">契約期間・解除事由を明示。成果報酬型では契約期間設計が報酬発生範囲に影響。</w:t>
      </w:r>
    </w:p>
    <w:p>
      <w:pPr>
        <w:numPr>
          <w:ilvl w:val="0"/>
          <w:numId w:val="1029"/>
        </w:numPr>
      </w:pPr>
      <w:r>
        <w:rPr>
          <w:rFonts w:hint="eastAsia"/>
        </w:rPr>
        <w:t xml:space="preserve">本契約の期間は、令和[YYYY]年[MM]月[DD]日から令和[YYYY]年[MM]月[DD]日までの[1]年間とする。</w:t>
      </w:r>
    </w:p>
    <w:p>
      <w:pPr>
        <w:numPr>
          <w:ilvl w:val="0"/>
          <w:numId w:val="1029"/>
        </w:numPr>
      </w:pPr>
      <w:r>
        <w:rPr>
          <w:rFonts w:hint="eastAsia"/>
        </w:rPr>
        <w:t xml:space="preserve">期間満了の[1]ヶ月前までに甲乙のいずれからも書面又は電磁的方法による更新拒絶の意思表示がない場合、本契約は同一条件でさらに[1]年間延長されるものとする。</w:t>
      </w:r>
    </w:p>
    <w:p>
      <w:pPr>
        <w:numPr>
          <w:ilvl w:val="0"/>
          <w:numId w:val="1029"/>
        </w:numPr>
      </w:pPr>
      <w:r>
        <w:rPr>
          <w:rFonts w:hint="eastAsia"/>
        </w:rPr>
        <w:t xml:space="preserve">甲又は乙は、相手方に対し[1]ヶ月前の予告により、本契約を解約できる。</w:t>
      </w:r>
    </w:p>
    <w:p>
      <w:pPr>
        <w:numPr>
          <w:ilvl w:val="0"/>
          <w:numId w:val="1029"/>
        </w:numPr>
      </w:pPr>
      <w:r>
        <w:rPr>
          <w:rFonts w:hint="eastAsia"/>
        </w:rPr>
        <w:t xml:space="preserve">甲又は乙が本契約に違反し、相手方が相当の期間を定めて催告したにもかかわらず是正されない場合、相手方は本契約を解除できる。</w:t>
      </w:r>
    </w:p>
    <w:p>
      <w:pPr>
        <w:numPr>
          <w:ilvl w:val="0"/>
          <w:numId w:val="1029"/>
        </w:numPr>
      </w:pPr>
      <w:r>
        <w:rPr>
          <w:rFonts w:hint="eastAsia"/>
        </w:rPr>
        <w:t xml:space="preserve">前項にかかわらず、次の各号のいずれかに該当する場合、相手方は催告なしに本契約を直ちに解除できる。</w:t>
      </w:r>
    </w:p>
    <w:p>
      <w:pPr>
        <w:pStyle w:val="Compact"/>
        <w:numPr>
          <w:ilvl w:val="0"/>
          <w:numId w:val="1030"/>
        </w:numPr>
      </w:pPr>
      <w:r>
        <w:rPr>
          <w:rFonts w:hint="eastAsia"/>
        </w:rPr>
        <w:t xml:space="preserve">第12条(反社条項)違反</w:t>
      </w:r>
    </w:p>
    <w:p>
      <w:pPr>
        <w:pStyle w:val="Compact"/>
        <w:numPr>
          <w:ilvl w:val="0"/>
          <w:numId w:val="1030"/>
        </w:numPr>
      </w:pPr>
      <w:r>
        <w:rPr>
          <w:rFonts w:hint="eastAsia"/>
        </w:rPr>
        <w:t xml:space="preserve">第8条(法令遵守)の重大な違反(措置命令等の対象となる場合等)</w:t>
      </w:r>
    </w:p>
    <w:p>
      <w:pPr>
        <w:pStyle w:val="Compact"/>
        <w:numPr>
          <w:ilvl w:val="0"/>
          <w:numId w:val="1030"/>
        </w:numPr>
      </w:pPr>
      <w:r>
        <w:rPr>
          <w:rFonts w:hint="eastAsia"/>
        </w:rPr>
        <w:t xml:space="preserve">重大な秘密情報の漏えい・個人情報事故</w:t>
      </w:r>
    </w:p>
    <w:p>
      <w:pPr>
        <w:pStyle w:val="Compact"/>
        <w:numPr>
          <w:ilvl w:val="0"/>
          <w:numId w:val="1030"/>
        </w:numPr>
      </w:pPr>
      <w:r>
        <w:rPr>
          <w:rFonts w:hint="eastAsia"/>
        </w:rPr>
        <w:t xml:space="preserve">支払不能、破産・民事再生・会社更生手続開始の申立て</w:t>
      </w:r>
    </w:p>
    <w:p>
      <w:pPr>
        <w:pStyle w:val="Compact"/>
        <w:numPr>
          <w:ilvl w:val="0"/>
          <w:numId w:val="1030"/>
        </w:numPr>
      </w:pPr>
      <w:r>
        <w:rPr>
          <w:rFonts w:hint="eastAsia"/>
        </w:rPr>
        <w:t xml:space="preserve">その他、信頼関係を著しく破壊する行為</w:t>
      </w:r>
    </w:p>
    <w:p>
      <w:r>
        <w:pict>
          <v:rect style="width:0;height:1.5pt" o:hralign="center" o:hrstd="t" o:hr="t"/>
        </w:pict>
      </w:r>
    </w:p>
    <w:bookmarkEnd w:id="24"/>
    <w:bookmarkStart w:id="25" w:name="第14条解除時の既発生報酬継続案件の取扱い"/>
    <w:p>
      <w:pPr>
        <w:pStyle w:val="Heading2"/>
      </w:pPr>
      <w:r>
        <w:rPr>
          <w:rFonts w:hint="eastAsia"/>
        </w:rPr>
        <w:t xml:space="preserve">第14条(解除時の既発生報酬・継続案件の取扱い)</w:t>
      </w:r>
    </w:p>
    <w:p>
      <w:pPr>
        <w:pStyle w:val="FirstParagraph"/>
      </w:pPr>
      <w:r>
        <w:rPr>
          <w:rFonts w:hint="eastAsia"/>
          <w:b/>
          <w:bCs/>
        </w:rPr>
        <w:t xml:space="preserve">【解説】</w:t>
      </w:r>
      <w:r>
        <w:t xml:space="preserve"> </w:t>
      </w:r>
      <w:r>
        <w:rPr>
          <w:rFonts w:hint="eastAsia"/>
        </w:rPr>
        <w:t xml:space="preserve">成果報酬型契約特有の重要条項。解除後の紛争(継続案件の取扱い等)を予防。</w:t>
      </w:r>
    </w:p>
    <w:p>
      <w:pPr>
        <w:numPr>
          <w:ilvl w:val="0"/>
          <w:numId w:val="1031"/>
        </w:numPr>
      </w:pPr>
      <w:r>
        <w:rPr>
          <w:rFonts w:hint="eastAsia"/>
        </w:rPr>
        <w:t xml:space="preserve">本契約解除日までに発生した成果については、本契約に従って報酬を支払う(乙の重大な契約違反による解除を除く)。</w:t>
      </w:r>
    </w:p>
    <w:p>
      <w:pPr>
        <w:numPr>
          <w:ilvl w:val="0"/>
          <w:numId w:val="1031"/>
        </w:numPr>
      </w:pPr>
      <w:r>
        <w:rPr>
          <w:rFonts w:hint="eastAsia"/>
        </w:rPr>
        <w:t xml:space="preserve">本契約解除日後[3]ヶ月以内に、乙が本契約期間中に紹介・関与した顧客との間で、本件業務の対象となる契約が成立した場合、当該成果についても本契約に従って報酬を支払う。</w:t>
      </w:r>
    </w:p>
    <w:p>
      <w:pPr>
        <w:numPr>
          <w:ilvl w:val="0"/>
          <w:numId w:val="1031"/>
        </w:numPr>
      </w:pPr>
      <w:r>
        <w:rPr>
          <w:rFonts w:hint="eastAsia"/>
        </w:rPr>
        <w:t xml:space="preserve">前項の期間経過後に発生した成果については、報酬支払い義務を負わないものとする。</w:t>
      </w:r>
    </w:p>
    <w:p>
      <w:pPr>
        <w:numPr>
          <w:ilvl w:val="0"/>
          <w:numId w:val="1031"/>
        </w:numPr>
      </w:pPr>
      <w:r>
        <w:rPr>
          <w:rFonts w:hint="eastAsia"/>
        </w:rPr>
        <w:t xml:space="preserve">本契約解除前に発生し、支払い済みの成果報酬は、乙の重大な契約違反による解除を除き、還付の対象とならない。</w:t>
      </w:r>
    </w:p>
    <w:p>
      <w:r>
        <w:pict>
          <v:rect style="width:0;height:1.5pt" o:hralign="center" o:hrstd="t" o:hr="t"/>
        </w:pict>
      </w:r>
    </w:p>
    <w:bookmarkEnd w:id="25"/>
    <w:bookmarkStart w:id="26" w:name="第15条損害賠償"/>
    <w:p>
      <w:pPr>
        <w:pStyle w:val="Heading2"/>
      </w:pPr>
      <w:r>
        <w:rPr>
          <w:rFonts w:hint="eastAsia"/>
        </w:rPr>
        <w:t xml:space="preserve">第15条(損害賠償)</w:t>
      </w:r>
    </w:p>
    <w:p>
      <w:pPr>
        <w:pStyle w:val="FirstParagraph"/>
      </w:pPr>
      <w:r>
        <w:rPr>
          <w:rFonts w:hint="eastAsia"/>
          <w:b/>
          <w:bCs/>
        </w:rPr>
        <w:t xml:space="preserve">【解説】</w:t>
      </w:r>
      <w:r>
        <w:t xml:space="preserve"> </w:t>
      </w:r>
      <w:r>
        <w:rPr>
          <w:rFonts w:hint="eastAsia"/>
        </w:rPr>
        <w:t xml:space="preserve">損害賠償の範囲を明示。乙の法令違反による損害は範囲が拡大しやすい。</w:t>
      </w:r>
    </w:p>
    <w:p>
      <w:pPr>
        <w:numPr>
          <w:ilvl w:val="0"/>
          <w:numId w:val="1032"/>
        </w:numPr>
      </w:pPr>
      <w:r>
        <w:rPr>
          <w:rFonts w:hint="eastAsia"/>
        </w:rPr>
        <w:t xml:space="preserve">甲又は乙が本契約に違反し、相手方に損害を与えた場合、当該違反した当事者は、相手方に対し、直接かつ通常の損害を賠償する。</w:t>
      </w:r>
    </w:p>
    <w:p>
      <w:pPr>
        <w:numPr>
          <w:ilvl w:val="0"/>
          <w:numId w:val="1032"/>
        </w:numPr>
      </w:pPr>
      <w:r>
        <w:rPr>
          <w:rFonts w:hint="eastAsia"/>
        </w:rPr>
        <w:t xml:space="preserve">第8条(法令遵守)違反、第10条(機密保持)違反、第12条(反社条項)違反、その他乙の故意又は重大な過失による違反の場合、乙は拡大損害(レピュテーション毀損による損害を含む)についても賠償の責任を負う。</w:t>
      </w:r>
    </w:p>
    <w:p>
      <w:pPr>
        <w:numPr>
          <w:ilvl w:val="0"/>
          <w:numId w:val="1032"/>
        </w:numPr>
      </w:pPr>
      <w:r>
        <w:rPr>
          <w:rFonts w:hint="eastAsia"/>
        </w:rPr>
        <w:t xml:space="preserve">通常の損害賠償の総額は、甲が乙に支払った又は支払うべき報酬(直近12ヶ月分)の合計額を上限とすることができる(乙の故意・重大な過失の場合を除く)。</w:t>
      </w:r>
    </w:p>
    <w:p>
      <w:r>
        <w:pict>
          <v:rect style="width:0;height:1.5pt" o:hralign="center" o:hrstd="t" o:hr="t"/>
        </w:pict>
      </w:r>
    </w:p>
    <w:bookmarkEnd w:id="26"/>
    <w:bookmarkStart w:id="27" w:name="第16条不可抗力"/>
    <w:p>
      <w:pPr>
        <w:pStyle w:val="Heading2"/>
      </w:pPr>
      <w:r>
        <w:rPr>
          <w:rFonts w:hint="eastAsia"/>
        </w:rPr>
        <w:t xml:space="preserve">第16条(不可抗力)</w:t>
      </w:r>
    </w:p>
    <w:p>
      <w:pPr>
        <w:pStyle w:val="FirstParagraph"/>
      </w:pPr>
      <w:r>
        <w:rPr>
          <w:rFonts w:hint="eastAsia"/>
          <w:b/>
          <w:bCs/>
        </w:rPr>
        <w:t xml:space="preserve">【解説】</w:t>
      </w:r>
      <w:r>
        <w:t xml:space="preserve"> </w:t>
      </w:r>
      <w:r>
        <w:rPr>
          <w:rFonts w:hint="eastAsia"/>
        </w:rPr>
        <w:t xml:space="preserve">天災・パンデミック等の不可抗力時の責任免除を定めます。</w:t>
      </w:r>
    </w:p>
    <w:p>
      <w:pPr>
        <w:pStyle w:val="BodyText"/>
      </w:pPr>
      <w:r>
        <w:rPr>
          <w:rFonts w:hint="eastAsia"/>
        </w:rPr>
        <w:t xml:space="preserve">天災地変、戦争、テロ、感染症の流行、政府の規制、停電、通信障害その他甲乙いずれの責めにも帰さない事由により、本契約の履行が遅延又は不能となった場合、当該事由により影響を受けた当事者は、本契約上の責任を負わない。ただし、当該事由の発生を相手方に速やかに通知し、影響緩和のための合理的な努力を払うものとする。</w:t>
      </w:r>
    </w:p>
    <w:p>
      <w:r>
        <w:pict>
          <v:rect style="width:0;height:1.5pt" o:hralign="center" o:hrstd="t" o:hr="t"/>
        </w:pict>
      </w:r>
    </w:p>
    <w:bookmarkEnd w:id="27"/>
    <w:bookmarkStart w:id="28" w:name="第17条譲渡禁止"/>
    <w:p>
      <w:pPr>
        <w:pStyle w:val="Heading2"/>
      </w:pPr>
      <w:r>
        <w:rPr>
          <w:rFonts w:hint="eastAsia"/>
        </w:rPr>
        <w:t xml:space="preserve">第17条(譲渡禁止)</w:t>
      </w:r>
    </w:p>
    <w:p>
      <w:pPr>
        <w:pStyle w:val="FirstParagraph"/>
      </w:pPr>
      <w:r>
        <w:rPr>
          <w:rFonts w:hint="eastAsia"/>
          <w:b/>
          <w:bCs/>
        </w:rPr>
        <w:t xml:space="preserve">【解説】</w:t>
      </w:r>
      <w:r>
        <w:t xml:space="preserve"> </w:t>
      </w:r>
      <w:r>
        <w:rPr>
          <w:rFonts w:hint="eastAsia"/>
        </w:rPr>
        <w:t xml:space="preserve">契約上の地位の譲渡を禁止する条項。</w:t>
      </w:r>
    </w:p>
    <w:p>
      <w:pPr>
        <w:pStyle w:val="BodyText"/>
      </w:pPr>
      <w:r>
        <w:rPr>
          <w:rFonts w:hint="eastAsia"/>
        </w:rPr>
        <w:t xml:space="preserve">甲及び乙は、相手方の事前の書面又は電磁的方法による承諾なく、本契約上の地位又は本契約に基づく権利義務の全部又は一部を第三者に譲渡、承継、担保提供その他の方法により処分してはならない。</w:t>
      </w:r>
    </w:p>
    <w:p>
      <w:r>
        <w:pict>
          <v:rect style="width:0;height:1.5pt" o:hralign="center" o:hrstd="t" o:hr="t"/>
        </w:pict>
      </w:r>
    </w:p>
    <w:bookmarkEnd w:id="28"/>
    <w:bookmarkStart w:id="29" w:name="第18条通知"/>
    <w:p>
      <w:pPr>
        <w:pStyle w:val="Heading2"/>
      </w:pPr>
      <w:r>
        <w:rPr>
          <w:rFonts w:hint="eastAsia"/>
        </w:rPr>
        <w:t xml:space="preserve">第18条(通知)</w:t>
      </w:r>
    </w:p>
    <w:p>
      <w:pPr>
        <w:pStyle w:val="FirstParagraph"/>
      </w:pPr>
      <w:r>
        <w:rPr>
          <w:rFonts w:hint="eastAsia"/>
          <w:b/>
          <w:bCs/>
        </w:rPr>
        <w:t xml:space="preserve">【解説】</w:t>
      </w:r>
      <w:r>
        <w:t xml:space="preserve"> </w:t>
      </w:r>
      <w:r>
        <w:rPr>
          <w:rFonts w:hint="eastAsia"/>
        </w:rPr>
        <w:t xml:space="preserve">契約上の通知方法を整理。</w:t>
      </w:r>
    </w:p>
    <w:p>
      <w:pPr>
        <w:pStyle w:val="BodyText"/>
      </w:pPr>
      <w:r>
        <w:rPr>
          <w:rFonts w:hint="eastAsia"/>
        </w:rPr>
        <w:t xml:space="preserve">本契約に関する通知は、書面の送付又は電磁的方法(電子メール等)により行うものとし、各当事者が事前に届け出た連絡先に対して行う。</w:t>
      </w:r>
    </w:p>
    <w:p>
      <w:r>
        <w:pict>
          <v:rect style="width:0;height:1.5pt" o:hralign="center" o:hrstd="t" o:hr="t"/>
        </w:pict>
      </w:r>
    </w:p>
    <w:bookmarkEnd w:id="29"/>
    <w:bookmarkStart w:id="30" w:name="第19条準拠法及び合意管轄"/>
    <w:p>
      <w:pPr>
        <w:pStyle w:val="Heading2"/>
      </w:pPr>
      <w:r>
        <w:rPr>
          <w:rFonts w:hint="eastAsia"/>
        </w:rPr>
        <w:t xml:space="preserve">第19条(準拠法及び合意管轄)</w:t>
      </w:r>
    </w:p>
    <w:p>
      <w:pPr>
        <w:pStyle w:val="FirstParagraph"/>
      </w:pPr>
      <w:r>
        <w:rPr>
          <w:rFonts w:hint="eastAsia"/>
          <w:b/>
          <w:bCs/>
        </w:rPr>
        <w:t xml:space="preserve">【解説】</w:t>
      </w:r>
      <w:r>
        <w:t xml:space="preserve"> </w:t>
      </w:r>
      <w:r>
        <w:rPr>
          <w:rFonts w:hint="eastAsia"/>
        </w:rPr>
        <w:t xml:space="preserve">国内取引なら日本法準拠が基本。管轄は委託者の本店所在地が一般的。</w:t>
      </w:r>
    </w:p>
    <w:p>
      <w:pPr>
        <w:numPr>
          <w:ilvl w:val="0"/>
          <w:numId w:val="1033"/>
        </w:numPr>
      </w:pPr>
      <w:r>
        <w:rPr>
          <w:rFonts w:hint="eastAsia"/>
        </w:rPr>
        <w:t xml:space="preserve">本契約は、日本法に準拠し、日本法に従って解釈されるものとする。</w:t>
      </w:r>
    </w:p>
    <w:p>
      <w:pPr>
        <w:numPr>
          <w:ilvl w:val="0"/>
          <w:numId w:val="1033"/>
        </w:numPr>
      </w:pPr>
      <w:r>
        <w:rPr>
          <w:rFonts w:hint="eastAsia"/>
        </w:rPr>
        <w:t xml:space="preserve">本契約に関連して甲乙間に紛争が生じた場合、[東京]地方裁判所を第一審の専属的合意管轄裁判所とする。</w:t>
      </w:r>
    </w:p>
    <w:p>
      <w:r>
        <w:pict>
          <v:rect style="width:0;height:1.5pt" o:hralign="center" o:hrstd="t" o:hr="t"/>
        </w:pict>
      </w:r>
    </w:p>
    <w:bookmarkEnd w:id="30"/>
    <w:bookmarkStart w:id="31" w:name="第20条協議事項"/>
    <w:p>
      <w:pPr>
        <w:pStyle w:val="Heading2"/>
      </w:pPr>
      <w:r>
        <w:rPr>
          <w:rFonts w:hint="eastAsia"/>
        </w:rPr>
        <w:t xml:space="preserve">第20条(協議事項)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本契約に定めのない事項、又は本契約の各条項の解釈について疑義が生じた場合は、甲乙誠実に協議の上、解決を図るものとする。</w:t>
      </w:r>
    </w:p>
    <w:p>
      <w:r>
        <w:pict>
          <v:rect style="width:0;height:1.5pt" o:hralign="center" o:hrstd="t" o:hr="t"/>
        </w:pict>
      </w:r>
    </w:p>
    <w:bookmarkEnd w:id="31"/>
    <w:bookmarkStart w:id="32" w:name="末尾"/>
    <w:p>
      <w:pPr>
        <w:pStyle w:val="Heading2"/>
      </w:pPr>
      <w:r>
        <w:rPr>
          <w:rFonts w:hint="eastAsia"/>
        </w:rPr>
        <w:t xml:space="preserve">末尾</w:t>
      </w:r>
    </w:p>
    <w:p>
      <w:pPr>
        <w:pStyle w:val="FirstParagraph"/>
      </w:pPr>
      <w:r>
        <w:rPr>
          <w:rFonts w:hint="eastAsia"/>
        </w:rPr>
        <w:t xml:space="preserve">本契約の成立を証するため、本書2通を作成し、甲乙署名又は記名押印の上、各1通を保有する。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[締結年月日(例:YYYY年MM月DD日)]</w:t>
      </w:r>
    </w:p>
    <w:p>
      <w:r>
        <w:pict>
          <v:rect style="width:0;height:1.5pt" o:hralign="center" o:hrstd="t" o:hr="t"/>
        </w:pict>
      </w:r>
    </w:p>
    <w:p>
      <w:pPr>
        <w:pStyle w:val="FirstParagraph"/>
      </w:pPr>
      <w:r>
        <w:rPr>
          <w:rFonts w:hint="eastAsia"/>
          <w:b/>
          <w:bCs/>
        </w:rPr>
        <w:t xml:space="preserve">【甲(委託者)】</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pPr>
        <w:pStyle w:val="FirstParagraph"/>
      </w:pPr>
      <w:r>
        <w:rPr>
          <w:rFonts w:hint="eastAsia"/>
          <w:b/>
          <w:bCs/>
        </w:rPr>
        <w:t xml:space="preserve">【乙(受託者)】</w:t>
      </w:r>
      <w:r>
        <w:t xml:space="preserve"> </w:t>
      </w:r>
      <w:r>
        <w:rPr>
          <w:rFonts w:hint="eastAsia"/>
        </w:rPr>
        <w:t xml:space="preserve">住所:[乙の住所(個人の場合)又は本店所在地(法人の場合)]</w:t>
      </w:r>
      <w:r>
        <w:t xml:space="preserve"> </w:t>
      </w:r>
      <w:r>
        <w:rPr>
          <w:rFonts w:hint="eastAsia"/>
        </w:rPr>
        <w:t xml:space="preserve">氏名又は名称:[乙の氏名又は正式名称]</w:t>
      </w:r>
      <w:r>
        <w:t xml:space="preserve"> </w:t>
      </w:r>
      <w:r>
        <w:rPr>
          <w:rFonts w:hint="eastAsia"/>
        </w:rPr>
        <w:t xml:space="preserve">(法人の場合)代表者:代表取締役</w:t>
      </w:r>
      <w:r>
        <w:t xml:space="preserve"> </w:t>
      </w:r>
      <w:r>
        <w:rPr>
          <w:rFonts w:hint="eastAsia"/>
        </w:rPr>
        <w:t xml:space="preserve">[氏名]</w:t>
      </w:r>
      <w:r>
        <w:t xml:space="preserve"> </w:t>
      </w:r>
      <w:r>
        <w:rPr>
          <w:rFonts w:hint="eastAsia"/>
        </w:rPr>
        <w:t xml:space="preserve">印</w:t>
      </w:r>
      <w:r>
        <w:t xml:space="preserve"> </w:t>
      </w:r>
      <w:r>
        <w:rPr>
          <w:rFonts w:hint="eastAsia"/>
        </w:rPr>
        <w:t xml:space="preserve">(個人の場合):[氏名]</w:t>
      </w:r>
      <w:r>
        <w:t xml:space="preserve"> </w:t>
      </w:r>
      <w:r>
        <w:rPr>
          <w:rFonts w:hint="eastAsia"/>
        </w:rPr>
        <w:t xml:space="preserve">印</w:t>
      </w:r>
    </w:p>
    <w:p>
      <w:r>
        <w:pict>
          <v:rect style="width:0;height:1.5pt" o:hralign="center" o:hrstd="t" o:hr="t"/>
        </w:pict>
      </w:r>
    </w:p>
    <w:bookmarkEnd w:id="32"/>
    <w:bookmarkStart w:id="37" w:name="別紙必要に応じて添付"/>
    <w:p>
      <w:pPr>
        <w:pStyle w:val="Heading2"/>
      </w:pPr>
      <w:r>
        <w:rPr>
          <w:rFonts w:hint="eastAsia"/>
        </w:rPr>
        <w:t xml:space="preserve">別紙(必要に応じて添付)</w:t>
      </w:r>
    </w:p>
    <w:bookmarkStart w:id="33" w:name="別紙1業務範囲明細"/>
    <w:p>
      <w:pPr>
        <w:pStyle w:val="Heading3"/>
      </w:pPr>
      <w:r>
        <w:rPr>
          <w:rFonts w:hint="eastAsia"/>
        </w:rPr>
        <w:t xml:space="preserve">別紙1:業務範囲明細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業務の種別</w:t>
            </w:r>
          </w:p>
        </w:tc>
        <w:tc>
          <w:tcPr/>
          <w:p>
            <w:pPr>
              <w:pStyle w:val="Compact"/>
            </w:pPr>
            <w:r>
              <w:rPr>
                <w:rFonts w:hint="eastAsia"/>
              </w:rPr>
              <w:t xml:space="preserve">[営業代行/Webマーケティング/コンサル/採用代行/債権回収/その他]</w:t>
            </w:r>
          </w:p>
        </w:tc>
      </w:tr>
      <w:tr>
        <w:tc>
          <w:tcPr/>
          <w:p>
            <w:pPr>
              <w:pStyle w:val="Compact"/>
            </w:pPr>
            <w:r>
              <w:rPr>
                <w:rFonts w:hint="eastAsia"/>
              </w:rPr>
              <w:t xml:space="preserve">対象商品・サービス</w:t>
            </w:r>
          </w:p>
        </w:tc>
        <w:tc>
          <w:tcPr/>
          <w:p>
            <w:pPr>
              <w:pStyle w:val="Compact"/>
            </w:pPr>
            <w:r>
              <w:rPr>
                <w:rFonts w:hint="eastAsia"/>
              </w:rPr>
              <w:t xml:space="preserve">[具体的に記載]</w:t>
            </w:r>
          </w:p>
        </w:tc>
      </w:tr>
      <w:tr>
        <w:tc>
          <w:tcPr/>
          <w:p>
            <w:pPr>
              <w:pStyle w:val="Compact"/>
            </w:pPr>
            <w:r>
              <w:rPr>
                <w:rFonts w:hint="eastAsia"/>
              </w:rPr>
              <w:t xml:space="preserve">対象顧客</w:t>
            </w:r>
          </w:p>
        </w:tc>
        <w:tc>
          <w:tcPr/>
          <w:p>
            <w:pPr>
              <w:pStyle w:val="Compact"/>
            </w:pPr>
            <w:r>
              <w:rPr>
                <w:rFonts w:hint="eastAsia"/>
              </w:rPr>
              <w:t xml:space="preserve">[新規/既存/特定セグメント等]</w:t>
            </w:r>
          </w:p>
        </w:tc>
      </w:tr>
      <w:tr>
        <w:tc>
          <w:tcPr/>
          <w:p>
            <w:pPr>
              <w:pStyle w:val="Compact"/>
            </w:pPr>
            <w:r>
              <w:rPr>
                <w:rFonts w:hint="eastAsia"/>
              </w:rPr>
              <w:t xml:space="preserve">業務遂行の方法</w:t>
            </w:r>
          </w:p>
        </w:tc>
        <w:tc>
          <w:tcPr/>
          <w:p>
            <w:pPr>
              <w:pStyle w:val="Compact"/>
            </w:pPr>
            <w:r>
              <w:rPr>
                <w:rFonts w:hint="eastAsia"/>
              </w:rPr>
              <w:t xml:space="preserve">[訪問/オンライン/電話・メール/SNS/広告運用等]</w:t>
            </w:r>
          </w:p>
        </w:tc>
      </w:tr>
      <w:tr>
        <w:tc>
          <w:tcPr/>
          <w:p>
            <w:pPr>
              <w:pStyle w:val="Compact"/>
            </w:pPr>
            <w:r>
              <w:rPr>
                <w:rFonts w:hint="eastAsia"/>
              </w:rPr>
              <w:t xml:space="preserve">業務の標準範囲</w:t>
            </w:r>
          </w:p>
        </w:tc>
        <w:tc>
          <w:tcPr/>
          <w:p>
            <w:pPr>
              <w:pStyle w:val="Compact"/>
            </w:pPr>
            <w:r>
              <w:rPr>
                <w:rFonts w:hint="eastAsia"/>
              </w:rPr>
              <w:t xml:space="preserve">[月間○件のアプローチ・月間○件の商談実施等]</w:t>
            </w:r>
          </w:p>
        </w:tc>
      </w:tr>
      <w:tr>
        <w:tc>
          <w:tcPr/>
          <w:p>
            <w:pPr>
              <w:pStyle w:val="Compact"/>
            </w:pPr>
            <w:r>
              <w:rPr>
                <w:rFonts w:hint="eastAsia"/>
              </w:rPr>
              <w:t xml:space="preserve">追加業務の取扱い</w:t>
            </w:r>
          </w:p>
        </w:tc>
        <w:tc>
          <w:tcPr/>
          <w:p>
            <w:pPr>
              <w:pStyle w:val="Compact"/>
            </w:pPr>
            <w:r>
              <w:rPr>
                <w:rFonts w:hint="eastAsia"/>
              </w:rPr>
              <w:t xml:space="preserve">[標準範囲を超える業務は別途料金]</w:t>
            </w:r>
          </w:p>
        </w:tc>
      </w:tr>
      <w:tr>
        <w:tc>
          <w:tcPr/>
          <w:p>
            <w:pPr>
              <w:pStyle w:val="Compact"/>
            </w:pPr>
            <w:r>
              <w:rPr>
                <w:rFonts w:hint="eastAsia"/>
              </w:rPr>
              <w:t xml:space="preserve">業務地域</w:t>
            </w:r>
          </w:p>
        </w:tc>
        <w:tc>
          <w:tcPr/>
          <w:p>
            <w:pPr>
              <w:pStyle w:val="Compact"/>
            </w:pPr>
            <w:r>
              <w:rPr>
                <w:rFonts w:hint="eastAsia"/>
              </w:rPr>
              <w:t xml:space="preserve">[全国/特定地域]</w:t>
            </w:r>
          </w:p>
        </w:tc>
      </w:tr>
    </w:tbl>
    <w:bookmarkEnd w:id="33"/>
    <w:bookmarkStart w:id="34" w:name="別紙2成果定義書"/>
    <w:p>
      <w:pPr>
        <w:pStyle w:val="Heading3"/>
      </w:pPr>
      <w:r>
        <w:rPr>
          <w:rFonts w:hint="eastAsia"/>
        </w:rPr>
        <w:t xml:space="preserve">別紙2:成果定義書</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成果の性質</w:t>
            </w:r>
          </w:p>
        </w:tc>
        <w:tc>
          <w:tcPr/>
          <w:p>
            <w:pPr>
              <w:pStyle w:val="Compact"/>
            </w:pPr>
            <w:r>
              <w:rPr>
                <w:rFonts w:hint="eastAsia"/>
              </w:rPr>
              <w:t xml:space="preserve">[契約成立/コンバージョン/採用成立/入金確認等]</w:t>
            </w:r>
          </w:p>
        </w:tc>
      </w:tr>
      <w:tr>
        <w:tc>
          <w:tcPr/>
          <w:p>
            <w:pPr>
              <w:pStyle w:val="Compact"/>
            </w:pPr>
            <w:r>
              <w:rPr>
                <w:rFonts w:hint="eastAsia"/>
              </w:rPr>
              <w:t xml:space="preserve">成果発生のタイミング</w:t>
            </w:r>
          </w:p>
        </w:tc>
        <w:tc>
          <w:tcPr/>
          <w:p>
            <w:pPr>
              <w:pStyle w:val="Compact"/>
            </w:pPr>
            <w:r>
              <w:rPr>
                <w:rFonts w:hint="eastAsia"/>
              </w:rPr>
              <w:t xml:space="preserve">[契約書締結時/注文書発行時/入金時/試用期間満了時等]</w:t>
            </w:r>
          </w:p>
        </w:tc>
      </w:tr>
      <w:tr>
        <w:tc>
          <w:tcPr/>
          <w:p>
            <w:pPr>
              <w:pStyle w:val="Compact"/>
            </w:pPr>
            <w:r>
              <w:rPr>
                <w:rFonts w:hint="eastAsia"/>
              </w:rPr>
              <w:t xml:space="preserve">成果認定の主体</w:t>
            </w:r>
          </w:p>
        </w:tc>
        <w:tc>
          <w:tcPr/>
          <w:p>
            <w:pPr>
              <w:pStyle w:val="Compact"/>
            </w:pPr>
            <w:r>
              <w:rPr>
                <w:rFonts w:hint="eastAsia"/>
              </w:rPr>
              <w:t xml:space="preserve">[甲/客観的指標による自動認定/協議]</w:t>
            </w:r>
          </w:p>
        </w:tc>
      </w:tr>
      <w:tr>
        <w:tc>
          <w:tcPr/>
          <w:p>
            <w:pPr>
              <w:pStyle w:val="Compact"/>
            </w:pPr>
            <w:r>
              <w:rPr>
                <w:rFonts w:hint="eastAsia"/>
              </w:rPr>
              <w:t xml:space="preserve">成果計測方法</w:t>
            </w:r>
          </w:p>
        </w:tc>
        <w:tc>
          <w:tcPr/>
          <w:p>
            <w:pPr>
              <w:pStyle w:val="Compact"/>
            </w:pPr>
            <w:r>
              <w:rPr>
                <w:rFonts w:hint="eastAsia"/>
              </w:rPr>
              <w:t xml:space="preserve">[GA4/CRMツール/契約管理システム/入金記録等]</w:t>
            </w:r>
          </w:p>
        </w:tc>
      </w:tr>
      <w:tr>
        <w:tc>
          <w:tcPr/>
          <w:p>
            <w:pPr>
              <w:pStyle w:val="Compact"/>
            </w:pPr>
            <w:r>
              <w:rPr>
                <w:rFonts w:hint="eastAsia"/>
              </w:rPr>
              <w:t xml:space="preserve">計測期間</w:t>
            </w:r>
          </w:p>
        </w:tc>
        <w:tc>
          <w:tcPr/>
          <w:p>
            <w:pPr>
              <w:pStyle w:val="Compact"/>
            </w:pPr>
            <w:r>
              <w:rPr>
                <w:rFonts w:hint="eastAsia"/>
              </w:rPr>
              <w:t xml:space="preserve">[毎月末日締め等]</w:t>
            </w:r>
          </w:p>
        </w:tc>
      </w:tr>
      <w:tr>
        <w:tc>
          <w:tcPr/>
          <w:p>
            <w:pPr>
              <w:pStyle w:val="Compact"/>
            </w:pPr>
            <w:r>
              <w:rPr>
                <w:rFonts w:hint="eastAsia"/>
              </w:rPr>
              <w:t xml:space="preserve">取消し対象期間</w:t>
            </w:r>
          </w:p>
        </w:tc>
        <w:tc>
          <w:tcPr/>
          <w:p>
            <w:pPr>
              <w:pStyle w:val="Compact"/>
            </w:pPr>
            <w:r>
              <w:rPr>
                <w:rFonts w:hint="eastAsia"/>
              </w:rPr>
              <w:t xml:space="preserve">[成果認定後3ヶ月以内]</w:t>
            </w:r>
          </w:p>
        </w:tc>
      </w:tr>
    </w:tbl>
    <w:bookmarkEnd w:id="34"/>
    <w:bookmarkStart w:id="35" w:name="別紙3競合他社リスト競業避止条項を利用する場合"/>
    <w:p>
      <w:pPr>
        <w:pStyle w:val="Heading3"/>
      </w:pPr>
      <w:r>
        <w:rPr>
          <w:rFonts w:hint="eastAsia"/>
        </w:rPr>
        <w:t xml:space="preserve">別紙3:競合他社リスト(競業避止条項を利用する場合)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競合企業名</w:t>
            </w:r>
          </w:p>
        </w:tc>
        <w:tc>
          <w:tcPr/>
          <w:p>
            <w:pPr>
              <w:pStyle w:val="Compact"/>
            </w:pPr>
            <w:r>
              <w:rPr>
                <w:rFonts w:hint="eastAsia"/>
              </w:rPr>
              <w:t xml:space="preserve">業種</w:t>
            </w:r>
          </w:p>
        </w:tc>
      </w:tr>
      <w:tr>
        <w:tc>
          <w:tcPr/>
          <w:p>
            <w:pPr>
              <w:pStyle w:val="Compact"/>
            </w:pPr>
            <w:r>
              <w:t xml:space="preserve">1</w:t>
            </w:r>
          </w:p>
        </w:tc>
        <w:tc>
          <w:tcPr/>
          <w:p>
            <w:pPr>
              <w:pStyle w:val="Compact"/>
            </w:pPr>
            <w:r>
              <w:rPr>
                <w:rFonts w:hint="eastAsia"/>
              </w:rPr>
              <w:t xml:space="preserve">[競合企業名]</w:t>
            </w:r>
          </w:p>
        </w:tc>
        <w:tc>
          <w:tcPr/>
          <w:p>
            <w:pPr>
              <w:pStyle w:val="Compact"/>
            </w:pPr>
            <w:r>
              <w:rPr>
                <w:rFonts w:hint="eastAsia"/>
              </w:rPr>
              <w:t xml:space="preserve">[業種]</w:t>
            </w:r>
          </w:p>
        </w:tc>
      </w:tr>
      <w:tr>
        <w:tc>
          <w:tcPr/>
          <w:p>
            <w:pPr>
              <w:pStyle w:val="Compact"/>
            </w:pPr>
            <w:r>
              <w:t xml:space="preserve">2</w:t>
            </w:r>
          </w:p>
        </w:tc>
        <w:tc>
          <w:tcPr/>
          <w:p>
            <w:pPr>
              <w:pStyle w:val="Compact"/>
            </w:pPr>
            <w:r>
              <w:rPr>
                <w:rFonts w:hint="eastAsia"/>
              </w:rPr>
              <w:t xml:space="preserve">[競合企業名]</w:t>
            </w:r>
          </w:p>
        </w:tc>
        <w:tc>
          <w:tcPr/>
          <w:p>
            <w:pPr>
              <w:pStyle w:val="Compact"/>
            </w:pPr>
            <w:r>
              <w:rPr>
                <w:rFonts w:hint="eastAsia"/>
              </w:rPr>
              <w:t xml:space="preserve">[業種]</w:t>
            </w:r>
          </w:p>
        </w:tc>
      </w:tr>
    </w:tbl>
    <w:bookmarkEnd w:id="35"/>
    <w:bookmarkStart w:id="36" w:name="別紙4報酬計算方法"/>
    <w:p>
      <w:pPr>
        <w:pStyle w:val="Heading3"/>
      </w:pPr>
      <w:r>
        <w:rPr>
          <w:rFonts w:hint="eastAsia"/>
        </w:rPr>
        <w:t xml:space="preserve">別紙4:報酬計算方法</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報酬種別</w:t>
            </w:r>
          </w:p>
        </w:tc>
        <w:tc>
          <w:tcPr/>
          <w:p>
            <w:pPr>
              <w:pStyle w:val="Compact"/>
            </w:pPr>
            <w:r>
              <w:rPr>
                <w:rFonts w:hint="eastAsia"/>
              </w:rPr>
              <w:t xml:space="preserve">計算式</w:t>
            </w:r>
          </w:p>
        </w:tc>
        <w:tc>
          <w:tcPr/>
          <w:p>
            <w:pPr>
              <w:pStyle w:val="Compact"/>
            </w:pPr>
            <w:r>
              <w:rPr>
                <w:rFonts w:hint="eastAsia"/>
              </w:rPr>
              <w:t xml:space="preserve">算定根拠</w:t>
            </w:r>
          </w:p>
        </w:tc>
      </w:tr>
      <w:tr>
        <w:tc>
          <w:tcPr/>
          <w:p>
            <w:pPr>
              <w:pStyle w:val="Compact"/>
            </w:pPr>
            <w:r>
              <w:rPr>
                <w:rFonts w:hint="eastAsia"/>
              </w:rPr>
              <w:t xml:space="preserve">基本料金</w:t>
            </w:r>
          </w:p>
        </w:tc>
        <w:tc>
          <w:tcPr/>
          <w:p>
            <w:pPr>
              <w:pStyle w:val="Compact"/>
            </w:pPr>
            <w:r>
              <w:rPr>
                <w:rFonts w:hint="eastAsia"/>
              </w:rPr>
              <w:t xml:space="preserve">月額固定[○○,○○○]円</w:t>
            </w:r>
          </w:p>
        </w:tc>
        <w:tc>
          <w:tcPr/>
          <w:p>
            <w:pPr>
              <w:pStyle w:val="Compact"/>
            </w:pPr>
            <w:r>
              <w:t xml:space="preserve">-</w:t>
            </w:r>
          </w:p>
        </w:tc>
      </w:tr>
      <w:tr>
        <w:tc>
          <w:tcPr/>
          <w:p>
            <w:pPr>
              <w:pStyle w:val="Compact"/>
            </w:pPr>
            <w:r>
              <w:rPr>
                <w:rFonts w:hint="eastAsia"/>
              </w:rPr>
              <w:t xml:space="preserve">成果報酬(売上連動)</w:t>
            </w:r>
          </w:p>
        </w:tc>
        <w:tc>
          <w:tcPr/>
          <w:p>
            <w:pPr>
              <w:pStyle w:val="Compact"/>
            </w:pPr>
            <w:r>
              <w:rPr>
                <w:rFonts w:hint="eastAsia"/>
              </w:rPr>
              <w:t xml:space="preserve">売上金額(税抜)</w:t>
            </w:r>
            <w:r>
              <w:t xml:space="preserve"> × [○]%</w:t>
            </w:r>
          </w:p>
        </w:tc>
        <w:tc>
          <w:tcPr/>
          <w:p>
            <w:pPr>
              <w:pStyle w:val="Compact"/>
            </w:pPr>
            <w:r>
              <w:rPr>
                <w:rFonts w:hint="eastAsia"/>
              </w:rPr>
              <w:t xml:space="preserve">月間集計</w:t>
            </w:r>
          </w:p>
        </w:tc>
      </w:tr>
      <w:tr>
        <w:tc>
          <w:tcPr/>
          <w:p>
            <w:pPr>
              <w:pStyle w:val="Compact"/>
            </w:pPr>
            <w:r>
              <w:rPr>
                <w:rFonts w:hint="eastAsia"/>
              </w:rPr>
              <w:t xml:space="preserve">成果報酬(件数連動)</w:t>
            </w:r>
          </w:p>
        </w:tc>
        <w:tc>
          <w:tcPr/>
          <w:p>
            <w:pPr>
              <w:pStyle w:val="Compact"/>
            </w:pPr>
            <w:r>
              <w:rPr>
                <w:rFonts w:hint="eastAsia"/>
              </w:rPr>
              <w:t xml:space="preserve">成果件数</w:t>
            </w:r>
            <w:r>
              <w:t xml:space="preserve"> × </w:t>
            </w:r>
            <w:r>
              <w:rPr>
                <w:rFonts w:hint="eastAsia"/>
              </w:rPr>
              <w:t xml:space="preserve">単価[○○,○○○]円</w:t>
            </w:r>
          </w:p>
        </w:tc>
        <w:tc>
          <w:tcPr/>
          <w:p>
            <w:pPr>
              <w:pStyle w:val="Compact"/>
            </w:pPr>
            <w:r>
              <w:rPr>
                <w:rFonts w:hint="eastAsia"/>
              </w:rPr>
              <w:t xml:space="preserve">月間集計</w:t>
            </w:r>
          </w:p>
        </w:tc>
      </w:tr>
      <w:tr>
        <w:tc>
          <w:tcPr/>
          <w:p>
            <w:pPr>
              <w:pStyle w:val="Compact"/>
            </w:pPr>
            <w:r>
              <w:rPr>
                <w:rFonts w:hint="eastAsia"/>
              </w:rPr>
              <w:t xml:space="preserve">その他(段階型等)</w:t>
            </w:r>
          </w:p>
        </w:tc>
        <w:tc>
          <w:tcPr/>
          <w:p>
            <w:pPr>
              <w:pStyle w:val="Compact"/>
            </w:pPr>
            <w:r>
              <w:rPr>
                <w:rFonts w:hint="eastAsia"/>
              </w:rPr>
              <w:t xml:space="preserve">[具体的な計算式]</w:t>
            </w:r>
          </w:p>
        </w:tc>
        <w:tc>
          <w:tcPr/>
          <w:p>
            <w:pPr>
              <w:pStyle w:val="Compact"/>
            </w:pPr>
            <w:r>
              <w:t xml:space="preserve">-</w:t>
            </w:r>
          </w:p>
        </w:tc>
      </w:tr>
    </w:tbl>
    <w:p>
      <w:r>
        <w:pict>
          <v:rect style="width:0;height:1.5pt" o:hralign="center" o:hrstd="t" o:hr="t"/>
        </w:pict>
      </w:r>
    </w:p>
    <w:bookmarkEnd w:id="36"/>
    <w:bookmarkEnd w:id="37"/>
    <w:bookmarkStart w:id="41" w:name="印紙税について"/>
    <w:p>
      <w:pPr>
        <w:pStyle w:val="Heading2"/>
      </w:pPr>
      <w:r>
        <w:rPr>
          <w:rFonts w:hint="eastAsia"/>
        </w:rPr>
        <w:t xml:space="preserve">印紙税について</w:t>
      </w:r>
    </w:p>
    <w:p>
      <w:pPr>
        <w:pStyle w:val="FirstParagraph"/>
      </w:pPr>
      <w:r>
        <w:rPr>
          <w:rFonts w:hint="eastAsia"/>
        </w:rPr>
        <w:t xml:space="preserve">成果報酬型業務委託契約書は、契約の性質により印紙税の判定が異なります。</w:t>
      </w:r>
    </w:p>
    <w:bookmarkStart w:id="38" w:name="印紙税の判定"/>
    <w:p>
      <w:pPr>
        <w:pStyle w:val="Heading3"/>
      </w:pPr>
      <w:r>
        <w:rPr>
          <w:rFonts w:hint="eastAsia"/>
        </w:rPr>
        <w:t xml:space="preserve">印紙税の判定</w:t>
      </w:r>
    </w:p>
    <w:tbl>
      <w:tblPr>
        <w:tblStyle w:val="Table"/>
        <w:tblW w:type="pct" w:w="5000"/>
        <w:tblLayout w:type="fixed"/>
        <w:tblLook w:firstRow="1" w:lastRow="0" w:firstColumn="0" w:lastColumn="0" w:noHBand="0" w:noVBand="0" w:val="0020"/>
      </w:tblPr>
      <w:tblGrid>
        <w:gridCol w:w="2436"/>
        <w:gridCol w:w="3655"/>
        <w:gridCol w:w="1827"/>
      </w:tblGrid>
      <w:tr>
        <w:trPr>
          <w:tblHeader w:val="on"/>
        </w:trPr>
        <w:tc>
          <w:tcPr/>
          <w:p>
            <w:pPr>
              <w:pStyle w:val="Compact"/>
            </w:pPr>
            <w:r>
              <w:rPr>
                <w:rFonts w:hint="eastAsia"/>
              </w:rPr>
              <w:t xml:space="preserve">契約の性質</w:t>
            </w:r>
          </w:p>
        </w:tc>
        <w:tc>
          <w:tcPr/>
          <w:p>
            <w:pPr>
              <w:pStyle w:val="Compact"/>
            </w:pPr>
            <w:r>
              <w:rPr>
                <w:rFonts w:hint="eastAsia"/>
              </w:rPr>
              <w:t xml:space="preserve">印紙税法上の区分</w:t>
            </w:r>
          </w:p>
        </w:tc>
        <w:tc>
          <w:tcPr/>
          <w:p>
            <w:pPr>
              <w:pStyle w:val="Compact"/>
            </w:pPr>
            <w:r>
              <w:rPr>
                <w:rFonts w:hint="eastAsia"/>
              </w:rPr>
              <w:t xml:space="preserve">印紙税</w:t>
            </w:r>
          </w:p>
        </w:tc>
      </w:tr>
      <w:tr>
        <w:tc>
          <w:tcPr/>
          <w:p>
            <w:pPr>
              <w:pStyle w:val="Compact"/>
            </w:pPr>
            <w:r>
              <w:rPr>
                <w:rFonts w:hint="eastAsia"/>
                <w:b/>
                <w:bCs/>
              </w:rPr>
              <w:t xml:space="preserve">請負契約的性質を持つ場合</w:t>
            </w:r>
            <w:r>
              <w:rPr>
                <w:rFonts w:hint="eastAsia"/>
              </w:rPr>
              <w:t xml:space="preserve">(成果物の完成型)</w:t>
            </w:r>
          </w:p>
        </w:tc>
        <w:tc>
          <w:tcPr/>
          <w:p>
            <w:pPr>
              <w:pStyle w:val="Compact"/>
            </w:pPr>
            <w:r>
              <w:rPr>
                <w:rFonts w:hint="eastAsia"/>
              </w:rPr>
              <w:t xml:space="preserve">第2号文書(請負に関する契約書)</w:t>
            </w:r>
          </w:p>
        </w:tc>
        <w:tc>
          <w:tcPr/>
          <w:p>
            <w:pPr>
              <w:pStyle w:val="Compact"/>
            </w:pPr>
            <w:r>
              <w:rPr>
                <w:rFonts w:hint="eastAsia"/>
              </w:rPr>
              <w:t xml:space="preserve">契約金額に応じて200円〜</w:t>
            </w:r>
          </w:p>
        </w:tc>
      </w:tr>
      <w:tr>
        <w:tc>
          <w:tcPr/>
          <w:p>
            <w:pPr>
              <w:pStyle w:val="Compact"/>
            </w:pPr>
            <w:r>
              <w:rPr>
                <w:rFonts w:hint="eastAsia"/>
                <w:b/>
                <w:bCs/>
              </w:rPr>
              <w:t xml:space="preserve">継続的取引基本契約に該当する場合</w:t>
            </w:r>
            <w:r>
              <w:rPr>
                <w:rFonts w:hint="eastAsia"/>
              </w:rPr>
              <w:t xml:space="preserve">(月額固定+成果報酬等)</w:t>
            </w:r>
          </w:p>
        </w:tc>
        <w:tc>
          <w:tcPr/>
          <w:p>
            <w:pPr>
              <w:pStyle w:val="Compact"/>
            </w:pPr>
            <w:r>
              <w:rPr>
                <w:rFonts w:hint="eastAsia"/>
              </w:rPr>
              <w:t xml:space="preserve">第7号文書</w:t>
            </w:r>
          </w:p>
        </w:tc>
        <w:tc>
          <w:tcPr/>
          <w:p>
            <w:pPr>
              <w:pStyle w:val="Compact"/>
            </w:pPr>
            <w:r>
              <w:rPr>
                <w:rFonts w:hint="eastAsia"/>
              </w:rPr>
              <w:t xml:space="preserve">4,000円</w:t>
            </w:r>
          </w:p>
        </w:tc>
      </w:tr>
      <w:tr>
        <w:tc>
          <w:tcPr/>
          <w:p>
            <w:pPr>
              <w:pStyle w:val="Compact"/>
            </w:pPr>
            <w:r>
              <w:rPr>
                <w:rFonts w:hint="eastAsia"/>
                <w:b/>
                <w:bCs/>
              </w:rPr>
              <w:t xml:space="preserve">純粋な準委任(役務提供型)</w:t>
            </w:r>
            <w:r>
              <w:rPr>
                <w:rFonts w:hint="eastAsia"/>
              </w:rPr>
              <w:t xml:space="preserve">(成果の完成を目的としない)</w:t>
            </w:r>
          </w:p>
        </w:tc>
        <w:tc>
          <w:tcPr/>
          <w:p>
            <w:pPr>
              <w:pStyle w:val="Compact"/>
            </w:pPr>
            <w:r>
              <w:rPr>
                <w:rFonts w:hint="eastAsia"/>
              </w:rPr>
              <w:t xml:space="preserve">非課税となる場合あり</w:t>
            </w:r>
          </w:p>
        </w:tc>
        <w:tc>
          <w:tcPr/>
          <w:p>
            <w:pPr>
              <w:pStyle w:val="Compact"/>
            </w:pPr>
            <w:r>
              <w:rPr>
                <w:rFonts w:hint="eastAsia"/>
              </w:rPr>
              <w:t xml:space="preserve">0円</w:t>
            </w:r>
          </w:p>
        </w:tc>
      </w:tr>
    </w:tbl>
    <w:bookmarkEnd w:id="38"/>
    <w:bookmarkStart w:id="39" w:name="第2号文書の印紙税額参考"/>
    <w:p>
      <w:pPr>
        <w:pStyle w:val="Heading3"/>
      </w:pPr>
      <w:r>
        <w:rPr>
          <w:rFonts w:hint="eastAsia"/>
        </w:rPr>
        <w:t xml:space="preserve">第2号文書の印紙税額(参考)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100万円以下</w:t>
            </w:r>
          </w:p>
        </w:tc>
        <w:tc>
          <w:tcPr/>
          <w:p>
            <w:pPr>
              <w:pStyle w:val="Compact"/>
            </w:pPr>
            <w:r>
              <w:rPr>
                <w:rFonts w:hint="eastAsia"/>
              </w:rPr>
              <w:t xml:space="preserve">200円</w:t>
            </w:r>
          </w:p>
        </w:tc>
      </w:tr>
      <w:tr>
        <w:tc>
          <w:tcPr/>
          <w:p>
            <w:pPr>
              <w:pStyle w:val="Compact"/>
            </w:pPr>
            <w:r>
              <w:rPr>
                <w:rFonts w:hint="eastAsia"/>
              </w:rPr>
              <w:t xml:space="preserve">500万円以下</w:t>
            </w:r>
          </w:p>
        </w:tc>
        <w:tc>
          <w:tcPr/>
          <w:p>
            <w:pPr>
              <w:pStyle w:val="Compact"/>
            </w:pPr>
            <w:r>
              <w:rPr>
                <w:rFonts w:hint="eastAsia"/>
              </w:rPr>
              <w:t xml:space="preserve">2,000円</w:t>
            </w:r>
          </w:p>
        </w:tc>
      </w:tr>
      <w:tr>
        <w:tc>
          <w:tcPr/>
          <w:p>
            <w:pPr>
              <w:pStyle w:val="Compact"/>
            </w:pPr>
            <w:r>
              <w:rPr>
                <w:rFonts w:hint="eastAsia"/>
              </w:rPr>
              <w:t xml:space="preserve">1,000万円以下</w:t>
            </w:r>
          </w:p>
        </w:tc>
        <w:tc>
          <w:tcPr/>
          <w:p>
            <w:pPr>
              <w:pStyle w:val="Compact"/>
            </w:pPr>
            <w:r>
              <w:rPr>
                <w:rFonts w:hint="eastAsia"/>
              </w:rPr>
              <w:t xml:space="preserve">10,000円</w:t>
            </w:r>
          </w:p>
        </w:tc>
      </w:tr>
      <w:tr>
        <w:tc>
          <w:tcPr/>
          <w:p>
            <w:pPr>
              <w:pStyle w:val="Compact"/>
            </w:pPr>
            <w:r>
              <w:rPr>
                <w:rFonts w:hint="eastAsia"/>
              </w:rPr>
              <w:t xml:space="preserve">5,000万円以下</w:t>
            </w:r>
          </w:p>
        </w:tc>
        <w:tc>
          <w:tcPr/>
          <w:p>
            <w:pPr>
              <w:pStyle w:val="Compact"/>
            </w:pPr>
            <w:r>
              <w:rPr>
                <w:rFonts w:hint="eastAsia"/>
              </w:rPr>
              <w:t xml:space="preserve">20,000円</w:t>
            </w:r>
          </w:p>
        </w:tc>
      </w:tr>
      <w:tr>
        <w:tc>
          <w:tcPr/>
          <w:p>
            <w:pPr>
              <w:pStyle w:val="Compact"/>
            </w:pPr>
            <w:r>
              <w:rPr>
                <w:rFonts w:hint="eastAsia"/>
              </w:rPr>
              <w:t xml:space="preserve">1億円以下</w:t>
            </w:r>
          </w:p>
        </w:tc>
        <w:tc>
          <w:tcPr/>
          <w:p>
            <w:pPr>
              <w:pStyle w:val="Compact"/>
            </w:pPr>
            <w:r>
              <w:rPr>
                <w:rFonts w:hint="eastAsia"/>
              </w:rPr>
              <w:t xml:space="preserve">60,000円</w:t>
            </w:r>
          </w:p>
        </w:tc>
      </w:tr>
    </w:tbl>
    <w:bookmarkEnd w:id="39"/>
    <w:bookmarkStart w:id="40" w:name="電子契約による締結なら印紙税ゼロ"/>
    <w:p>
      <w:pPr>
        <w:pStyle w:val="Heading3"/>
      </w:pPr>
      <w:r>
        <w:rPr>
          <w:rFonts w:hint="eastAsia"/>
        </w:rPr>
        <w:t xml:space="preserve">電子契約による締結なら印紙税ゼロ</w:t>
      </w:r>
    </w:p>
    <w:p>
      <w:pPr>
        <w:pStyle w:val="FirstParagraph"/>
      </w:pPr>
      <w:r>
        <w:rPr>
          <w:rFonts w:hint="eastAsia"/>
          <w:b/>
          <w:bCs/>
        </w:rPr>
        <w:t xml:space="preserve">電子契約サービスを利用して締結する場合、印紙税は発生しません</w:t>
      </w:r>
      <w:r>
        <w:rPr>
          <w:rFonts w:hint="eastAsia"/>
        </w:rPr>
        <w:t xml:space="preserve">。営業代行・コンサル業は多数の契約を扱うため、節税効果が大きくなります。</w:t>
      </w:r>
    </w:p>
    <w:p>
      <w:pPr>
        <w:pStyle w:val="BodyText"/>
      </w:pPr>
      <w:r>
        <w:rPr>
          <w:rFonts w:hint="eastAsia"/>
        </w:rPr>
        <w:t xml:space="preserve">(具体的な税務判断は税理士にご相談ください。)</w:t>
      </w:r>
    </w:p>
    <w:p>
      <w:r>
        <w:pict>
          <v:rect style="width:0;height:1.5pt" o:hralign="center" o:hrstd="t" o:hr="t"/>
        </w:pict>
      </w:r>
    </w:p>
    <w:bookmarkEnd w:id="40"/>
    <w:bookmarkEnd w:id="41"/>
    <w:bookmarkStart w:id="42" w:name="電子契約による締結のすすめ"/>
    <w:p>
      <w:pPr>
        <w:pStyle w:val="Heading2"/>
      </w:pPr>
      <w:r>
        <w:rPr>
          <w:rFonts w:hint="eastAsia"/>
        </w:rPr>
        <w:t xml:space="preserve">電子契約による締結のすすめ</w:t>
      </w:r>
    </w:p>
    <w:p>
      <w:pPr>
        <w:pStyle w:val="FirstParagraph"/>
      </w:pPr>
      <w:r>
        <w:rPr>
          <w:rFonts w:hint="eastAsia"/>
        </w:rPr>
        <w:t xml:space="preserve">本契約は、電子契約サービスでの締結が可能です。成果報酬型業務委託契約特有のメリット:</w:t>
      </w:r>
    </w:p>
    <w:p>
      <w:pPr>
        <w:pStyle w:val="Compact"/>
        <w:numPr>
          <w:ilvl w:val="0"/>
          <w:numId w:val="1034"/>
        </w:numPr>
      </w:pPr>
      <w:r>
        <w:rPr>
          <w:rFonts w:hint="eastAsia"/>
          <w:b/>
          <w:bCs/>
        </w:rPr>
        <w:t xml:space="preserve">印紙税ゼロ</w:t>
      </w:r>
      <w:r>
        <w:rPr>
          <w:rFonts w:hint="eastAsia"/>
        </w:rPr>
        <w:t xml:space="preserve">(継続的取引基本契約での節税効果大)</w:t>
      </w:r>
    </w:p>
    <w:p>
      <w:pPr>
        <w:pStyle w:val="Compact"/>
        <w:numPr>
          <w:ilvl w:val="0"/>
          <w:numId w:val="1034"/>
        </w:numPr>
      </w:pPr>
      <w:r>
        <w:rPr>
          <w:rFonts w:hint="eastAsia"/>
          <w:b/>
          <w:bCs/>
        </w:rPr>
        <w:t xml:space="preserve">複数受託者の一元管理</w:t>
      </w:r>
      <w:r>
        <w:rPr>
          <w:rFonts w:hint="eastAsia"/>
        </w:rPr>
        <w:t xml:space="preserve">(成果報告との連動)</w:t>
      </w:r>
    </w:p>
    <w:p>
      <w:pPr>
        <w:pStyle w:val="Compact"/>
        <w:numPr>
          <w:ilvl w:val="0"/>
          <w:numId w:val="1034"/>
        </w:numPr>
      </w:pPr>
      <w:r>
        <w:rPr>
          <w:rFonts w:hint="eastAsia"/>
          <w:b/>
          <w:bCs/>
        </w:rPr>
        <w:t xml:space="preserve">タイムスタンプによる締結日時の証拠化</w:t>
      </w:r>
    </w:p>
    <w:p>
      <w:pPr>
        <w:pStyle w:val="Compact"/>
        <w:numPr>
          <w:ilvl w:val="0"/>
          <w:numId w:val="1034"/>
        </w:numPr>
      </w:pPr>
      <w:r>
        <w:rPr>
          <w:rFonts w:hint="eastAsia"/>
          <w:b/>
          <w:bCs/>
        </w:rPr>
        <w:t xml:space="preserve">改ざん検知</w:t>
      </w:r>
      <w:r>
        <w:rPr>
          <w:rFonts w:hint="eastAsia"/>
        </w:rPr>
        <w:t xml:space="preserve">(電子署名で内容変更を防止)</w:t>
      </w:r>
    </w:p>
    <w:p>
      <w:pPr>
        <w:pStyle w:val="Compact"/>
        <w:numPr>
          <w:ilvl w:val="0"/>
          <w:numId w:val="1034"/>
        </w:numPr>
      </w:pPr>
      <w:r>
        <w:rPr>
          <w:rFonts w:hint="eastAsia"/>
          <w:b/>
          <w:bCs/>
        </w:rPr>
        <w:t xml:space="preserve">電子帳簿保存法に自動対応</w:t>
      </w:r>
      <w:r>
        <w:rPr>
          <w:rFonts w:hint="eastAsia"/>
        </w:rPr>
        <w:t xml:space="preserve">(2024年1月完全義務化)</w:t>
      </w:r>
    </w:p>
    <w:p>
      <w:pPr>
        <w:pStyle w:val="Compact"/>
        <w:numPr>
          <w:ilvl w:val="0"/>
          <w:numId w:val="1034"/>
        </w:numPr>
      </w:pPr>
      <w:r>
        <w:rPr>
          <w:rFonts w:hint="eastAsia"/>
          <w:b/>
          <w:bCs/>
        </w:rPr>
        <w:t xml:space="preserve">フリーランス新法対応</w:t>
      </w:r>
      <w:r>
        <w:rPr>
          <w:rFonts w:hint="eastAsia"/>
        </w:rPr>
        <w:t xml:space="preserve">(取引条件明示の証拠化)</w:t>
      </w:r>
    </w:p>
    <w:p>
      <w:pPr>
        <w:pStyle w:val="Compact"/>
        <w:numPr>
          <w:ilvl w:val="0"/>
          <w:numId w:val="1034"/>
        </w:numPr>
      </w:pPr>
      <w:r>
        <w:rPr>
          <w:rFonts w:hint="eastAsia"/>
          <w:b/>
          <w:bCs/>
        </w:rPr>
        <w:t xml:space="preserve">複数案件・複数受託者の並行管理に最適</w:t>
      </w:r>
    </w:p>
    <w:p>
      <w:pPr>
        <w:pStyle w:val="Compact"/>
        <w:numPr>
          <w:ilvl w:val="0"/>
          <w:numId w:val="1034"/>
        </w:numPr>
      </w:pPr>
      <w:r>
        <w:rPr>
          <w:rFonts w:hint="eastAsia"/>
          <w:b/>
          <w:bCs/>
        </w:rPr>
        <w:t xml:space="preserve">スマホからも署名可能</w:t>
      </w:r>
      <w:r>
        <w:rPr>
          <w:rFonts w:hint="eastAsia"/>
        </w:rPr>
        <w:t xml:space="preserve">(現場対応)</w:t>
      </w:r>
    </w:p>
    <w:p>
      <w:pPr>
        <w:pStyle w:val="Compact"/>
        <w:numPr>
          <w:ilvl w:val="0"/>
          <w:numId w:val="1034"/>
        </w:numPr>
      </w:pPr>
      <w:r>
        <w:rPr>
          <w:rFonts w:hint="eastAsia"/>
          <w:b/>
          <w:bCs/>
        </w:rPr>
        <w:t xml:space="preserve">検収書・受領書等の関連書類も一元管理</w:t>
      </w:r>
    </w:p>
    <w:p>
      <w:r>
        <w:pict>
          <v:rect style="width:0;height:1.5pt" o:hralign="center" o:hrstd="t" o:hr="t"/>
        </w:pict>
      </w:r>
    </w:p>
    <w:bookmarkEnd w:id="42"/>
    <w:bookmarkStart w:id="52" w:name="利用上の注意"/>
    <w:p>
      <w:pPr>
        <w:pStyle w:val="Heading2"/>
      </w:pPr>
      <w:r>
        <w:rPr>
          <w:rFonts w:hint="eastAsia"/>
        </w:rPr>
        <w:t xml:space="preserve">利用上の注意</w:t>
      </w:r>
    </w:p>
    <w:p>
      <w:pPr>
        <w:pStyle w:val="BlockText"/>
      </w:pPr>
      <w:r>
        <w:rPr>
          <w:rFonts w:hint="eastAsia"/>
          <w:b/>
          <w:bCs/>
        </w:rPr>
        <w:t xml:space="preserve">※本テンプレートは弁護士監修ですが、業種・成果指標・取引規模に応じた修正が必要です。重要案件は必ず弁護士にご相談ください。</w:t>
      </w:r>
    </w:p>
    <w:bookmarkStart w:id="43" w:name="報酬体系第4条の選択指針"/>
    <w:p>
      <w:pPr>
        <w:pStyle w:val="Heading3"/>
      </w:pPr>
      <w:r>
        <w:rPr>
          <w:rFonts w:hint="eastAsia"/>
        </w:rPr>
        <w:t xml:space="preserve">報酬体系(第4条)の選択指針</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パターン</w:t>
            </w:r>
          </w:p>
        </w:tc>
        <w:tc>
          <w:tcPr/>
          <w:p>
            <w:pPr>
              <w:pStyle w:val="Compact"/>
            </w:pPr>
            <w:r>
              <w:rPr>
                <w:rFonts w:hint="eastAsia"/>
              </w:rPr>
              <w:t xml:space="preserve">適用場面</w:t>
            </w:r>
          </w:p>
        </w:tc>
      </w:tr>
      <w:tr>
        <w:tc>
          <w:tcPr/>
          <w:p>
            <w:pPr>
              <w:pStyle w:val="Compact"/>
            </w:pPr>
            <w:r>
              <w:rPr>
                <w:rFonts w:hint="eastAsia"/>
                <w:b/>
                <w:bCs/>
              </w:rPr>
              <w:t xml:space="preserve">完全成果報酬型</w:t>
            </w:r>
          </w:p>
        </w:tc>
        <w:tc>
          <w:tcPr/>
          <w:p>
            <w:pPr>
              <w:pStyle w:val="Compact"/>
            </w:pPr>
            <w:r>
              <w:rPr>
                <w:rFonts w:hint="eastAsia"/>
              </w:rPr>
              <w:t xml:space="preserve">短期・単発案件・受託者の自信が高い業務</w:t>
            </w:r>
          </w:p>
        </w:tc>
      </w:tr>
      <w:tr>
        <w:tc>
          <w:tcPr/>
          <w:p>
            <w:pPr>
              <w:pStyle w:val="Compact"/>
            </w:pPr>
            <w:r>
              <w:rPr>
                <w:rFonts w:hint="eastAsia"/>
                <w:b/>
                <w:bCs/>
              </w:rPr>
              <w:t xml:space="preserve">固定+成果報酬型</w:t>
            </w:r>
          </w:p>
        </w:tc>
        <w:tc>
          <w:tcPr/>
          <w:p>
            <w:pPr>
              <w:pStyle w:val="Compact"/>
            </w:pPr>
            <w:r>
              <w:rPr>
                <w:rFonts w:hint="eastAsia"/>
              </w:rPr>
              <w:t xml:space="preserve">中長期・継続案件・関係構築重視</w:t>
            </w:r>
          </w:p>
        </w:tc>
      </w:tr>
      <w:tr>
        <w:tc>
          <w:tcPr/>
          <w:p>
            <w:pPr>
              <w:pStyle w:val="Compact"/>
            </w:pPr>
            <w:r>
              <w:rPr>
                <w:rFonts w:hint="eastAsia"/>
                <w:b/>
                <w:bCs/>
              </w:rPr>
              <w:t xml:space="preserve">段階型成果報酬</w:t>
            </w:r>
          </w:p>
        </w:tc>
        <w:tc>
          <w:tcPr/>
          <w:p>
            <w:pPr>
              <w:pStyle w:val="Compact"/>
            </w:pPr>
            <w:r>
              <w:rPr>
                <w:rFonts w:hint="eastAsia"/>
              </w:rPr>
              <w:t xml:space="preserve">KPI連動・大型案件</w:t>
            </w:r>
          </w:p>
        </w:tc>
      </w:tr>
    </w:tbl>
    <w:bookmarkEnd w:id="43"/>
    <w:bookmarkStart w:id="44" w:name="成果の定義第3条別紙2の明確化"/>
    <w:p>
      <w:pPr>
        <w:pStyle w:val="Heading3"/>
      </w:pPr>
      <w:r>
        <w:rPr>
          <w:rFonts w:hint="eastAsia"/>
        </w:rPr>
        <w:t xml:space="preserve">成果の定義(第3条・別紙2)の明確化</w:t>
      </w:r>
    </w:p>
    <w:p>
      <w:pPr>
        <w:pStyle w:val="Compact"/>
        <w:numPr>
          <w:ilvl w:val="0"/>
          <w:numId w:val="1035"/>
        </w:numPr>
      </w:pPr>
      <w:r>
        <w:rPr>
          <w:rFonts w:hint="eastAsia"/>
        </w:rPr>
        <w:t xml:space="preserve">成果の性質を具体的に記載</w:t>
      </w:r>
    </w:p>
    <w:p>
      <w:pPr>
        <w:pStyle w:val="Compact"/>
        <w:numPr>
          <w:ilvl w:val="0"/>
          <w:numId w:val="1035"/>
        </w:numPr>
      </w:pPr>
      <w:r>
        <w:rPr>
          <w:rFonts w:hint="eastAsia"/>
        </w:rPr>
        <w:t xml:space="preserve">成果発生のタイミングを明示(契約成立時・入金時・本採用時等)</w:t>
      </w:r>
    </w:p>
    <w:p>
      <w:pPr>
        <w:pStyle w:val="Compact"/>
        <w:numPr>
          <w:ilvl w:val="0"/>
          <w:numId w:val="1035"/>
        </w:numPr>
      </w:pPr>
      <w:r>
        <w:rPr>
          <w:rFonts w:hint="eastAsia"/>
        </w:rPr>
        <w:t xml:space="preserve">計測方法・計測ツールを明示</w:t>
      </w:r>
    </w:p>
    <w:p>
      <w:pPr>
        <w:pStyle w:val="Compact"/>
        <w:numPr>
          <w:ilvl w:val="0"/>
          <w:numId w:val="1035"/>
        </w:numPr>
      </w:pPr>
      <w:r>
        <w:rPr>
          <w:rFonts w:hint="eastAsia"/>
        </w:rPr>
        <w:t xml:space="preserve">取消し・キャンセル時の取扱いを明示</w:t>
      </w:r>
    </w:p>
    <w:bookmarkEnd w:id="44"/>
    <w:bookmarkStart w:id="45" w:name="法令遵守第8条の重要性"/>
    <w:p>
      <w:pPr>
        <w:pStyle w:val="Heading3"/>
      </w:pPr>
      <w:r>
        <w:rPr>
          <w:rFonts w:hint="eastAsia"/>
        </w:rPr>
        <w:t xml:space="preserve">法令遵守(第8条)の重要性</w:t>
      </w:r>
    </w:p>
    <w:p>
      <w:pPr>
        <w:pStyle w:val="Compact"/>
        <w:numPr>
          <w:ilvl w:val="0"/>
          <w:numId w:val="1036"/>
        </w:numPr>
      </w:pPr>
      <w:r>
        <w:rPr>
          <w:rFonts w:hint="eastAsia"/>
        </w:rPr>
        <w:t xml:space="preserve">規制業種(化粧品・健康食品・金融商品・医療・不動産等)では業種特有の規制への対応が必須</w:t>
      </w:r>
    </w:p>
    <w:p>
      <w:pPr>
        <w:pStyle w:val="Compact"/>
        <w:numPr>
          <w:ilvl w:val="0"/>
          <w:numId w:val="1036"/>
        </w:numPr>
      </w:pPr>
      <w:r>
        <w:rPr>
          <w:rFonts w:hint="eastAsia"/>
        </w:rPr>
        <w:t xml:space="preserve">受託者の誇大広告・薬機法違反等のリスクから委託者を保護</w:t>
      </w:r>
    </w:p>
    <w:p>
      <w:pPr>
        <w:pStyle w:val="Compact"/>
        <w:numPr>
          <w:ilvl w:val="0"/>
          <w:numId w:val="1036"/>
        </w:numPr>
      </w:pPr>
      <w:r>
        <w:rPr>
          <w:rFonts w:hint="eastAsia"/>
        </w:rPr>
        <w:t xml:space="preserve">事前承諾制で広告・販促物を管理</w:t>
      </w:r>
    </w:p>
    <w:bookmarkEnd w:id="45"/>
    <w:bookmarkStart w:id="46" w:name="フリーランス新法対応2024年11月施行"/>
    <w:p>
      <w:pPr>
        <w:pStyle w:val="Heading3"/>
      </w:pPr>
      <w:r>
        <w:rPr>
          <w:rFonts w:hint="eastAsia"/>
        </w:rPr>
        <w:t xml:space="preserve">フリーランス新法対応(2024年11月施行)</w:t>
      </w:r>
    </w:p>
    <w:p>
      <w:pPr>
        <w:pStyle w:val="Compact"/>
        <w:numPr>
          <w:ilvl w:val="0"/>
          <w:numId w:val="1037"/>
        </w:numPr>
      </w:pPr>
      <w:r>
        <w:rPr>
          <w:rFonts w:hint="eastAsia"/>
        </w:rPr>
        <w:t xml:space="preserve">受託者が個人事業主の場合は適用対象</w:t>
      </w:r>
    </w:p>
    <w:p>
      <w:pPr>
        <w:pStyle w:val="Compact"/>
        <w:numPr>
          <w:ilvl w:val="0"/>
          <w:numId w:val="1037"/>
        </w:numPr>
      </w:pPr>
      <w:r>
        <w:rPr>
          <w:rFonts w:hint="eastAsia"/>
        </w:rPr>
        <w:t xml:space="preserve">取引条件の書面明示が必要</w:t>
      </w:r>
    </w:p>
    <w:p>
      <w:pPr>
        <w:pStyle w:val="Compact"/>
        <w:numPr>
          <w:ilvl w:val="0"/>
          <w:numId w:val="1037"/>
        </w:numPr>
      </w:pPr>
      <w:r>
        <w:rPr>
          <w:rFonts w:hint="eastAsia"/>
        </w:rPr>
        <w:t xml:space="preserve">検収完了後60日以内の支払いが必須</w:t>
      </w:r>
    </w:p>
    <w:p>
      <w:pPr>
        <w:pStyle w:val="Compact"/>
        <w:numPr>
          <w:ilvl w:val="0"/>
          <w:numId w:val="1037"/>
        </w:numPr>
      </w:pPr>
      <w:r>
        <w:rPr>
          <w:rFonts w:hint="eastAsia"/>
        </w:rPr>
        <w:t xml:space="preserve">委託者側で本条項を遵守</w:t>
      </w:r>
    </w:p>
    <w:bookmarkEnd w:id="46"/>
    <w:bookmarkStart w:id="47" w:name="解除時の取扱い第14条の重要性"/>
    <w:p>
      <w:pPr>
        <w:pStyle w:val="Heading3"/>
      </w:pPr>
      <w:r>
        <w:rPr>
          <w:rFonts w:hint="eastAsia"/>
        </w:rPr>
        <w:t xml:space="preserve">解除時の取扱い(第14条)の重要性</w:t>
      </w:r>
    </w:p>
    <w:p>
      <w:pPr>
        <w:pStyle w:val="Compact"/>
        <w:numPr>
          <w:ilvl w:val="0"/>
          <w:numId w:val="1038"/>
        </w:numPr>
      </w:pPr>
      <w:r>
        <w:rPr>
          <w:rFonts w:hint="eastAsia"/>
        </w:rPr>
        <w:t xml:space="preserve">既発生報酬の処理を明示(原則:解除日まで分は支払)</w:t>
      </w:r>
    </w:p>
    <w:p>
      <w:pPr>
        <w:pStyle w:val="Compact"/>
        <w:numPr>
          <w:ilvl w:val="0"/>
          <w:numId w:val="1038"/>
        </w:numPr>
      </w:pPr>
      <w:r>
        <w:rPr>
          <w:rFonts w:hint="eastAsia"/>
        </w:rPr>
        <w:t xml:space="preserve">継続案件の取扱い(解除後3ヶ月以内は対象等)</w:t>
      </w:r>
    </w:p>
    <w:p>
      <w:pPr>
        <w:pStyle w:val="Compact"/>
        <w:numPr>
          <w:ilvl w:val="0"/>
          <w:numId w:val="1038"/>
        </w:numPr>
      </w:pPr>
      <w:r>
        <w:rPr>
          <w:rFonts w:hint="eastAsia"/>
        </w:rPr>
        <w:t xml:space="preserve">還付禁止条項で受託者保護</w:t>
      </w:r>
    </w:p>
    <w:bookmarkEnd w:id="47"/>
    <w:bookmarkStart w:id="48" w:name="競業避止第9条の取扱い"/>
    <w:p>
      <w:pPr>
        <w:pStyle w:val="Heading3"/>
      </w:pPr>
      <w:r>
        <w:rPr>
          <w:rFonts w:hint="eastAsia"/>
        </w:rPr>
        <w:t xml:space="preserve">競業避止(第9条)の取扱い</w:t>
      </w:r>
    </w:p>
    <w:p>
      <w:pPr>
        <w:pStyle w:val="Compact"/>
        <w:numPr>
          <w:ilvl w:val="0"/>
          <w:numId w:val="1039"/>
        </w:numPr>
      </w:pPr>
      <w:r>
        <w:rPr>
          <w:rFonts w:hint="eastAsia"/>
        </w:rPr>
        <w:t xml:space="preserve">任意条項</w:t>
      </w:r>
    </w:p>
    <w:p>
      <w:pPr>
        <w:pStyle w:val="Compact"/>
        <w:numPr>
          <w:ilvl w:val="0"/>
          <w:numId w:val="1039"/>
        </w:numPr>
      </w:pPr>
      <w:r>
        <w:rPr>
          <w:rFonts w:hint="eastAsia"/>
        </w:rPr>
        <w:t xml:space="preserve">不要な場合は削除可能</w:t>
      </w:r>
    </w:p>
    <w:p>
      <w:pPr>
        <w:pStyle w:val="Compact"/>
        <w:numPr>
          <w:ilvl w:val="0"/>
          <w:numId w:val="1039"/>
        </w:numPr>
      </w:pPr>
      <w:r>
        <w:rPr>
          <w:rFonts w:hint="eastAsia"/>
        </w:rPr>
        <w:t xml:space="preserve">期間・範囲は合理的に(過度な制限は無効リスク)</w:t>
      </w:r>
    </w:p>
    <w:bookmarkEnd w:id="48"/>
    <w:bookmarkStart w:id="49" w:name="業種別の追加検討事項"/>
    <w:p>
      <w:pPr>
        <w:pStyle w:val="Heading3"/>
      </w:pPr>
      <w:r>
        <w:rPr>
          <w:rFonts w:hint="eastAsia"/>
        </w:rPr>
        <w:t xml:space="preserve">業種別の追加検討事項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w:t>
            </w:r>
          </w:p>
        </w:tc>
        <w:tc>
          <w:tcPr/>
          <w:p>
            <w:pPr>
              <w:pStyle w:val="Compact"/>
            </w:pPr>
            <w:r>
              <w:rPr>
                <w:rFonts w:hint="eastAsia"/>
              </w:rPr>
              <w:t xml:space="preserve">追加検討事項</w:t>
            </w:r>
          </w:p>
        </w:tc>
      </w:tr>
      <w:tr>
        <w:tc>
          <w:tcPr/>
          <w:p>
            <w:pPr>
              <w:pStyle w:val="Compact"/>
            </w:pPr>
            <w:r>
              <w:rPr>
                <w:rFonts w:hint="eastAsia"/>
                <w:b/>
                <w:bCs/>
              </w:rPr>
              <w:t xml:space="preserve">営業代行</w:t>
            </w:r>
          </w:p>
        </w:tc>
        <w:tc>
          <w:tcPr/>
          <w:p>
            <w:pPr>
              <w:pStyle w:val="Compact"/>
            </w:pPr>
            <w:r>
              <w:rPr>
                <w:rFonts w:hint="eastAsia"/>
              </w:rPr>
              <w:t xml:space="preserve">訪問販売規制・特商法対応・顧客個人情報</w:t>
            </w:r>
          </w:p>
        </w:tc>
      </w:tr>
      <w:tr>
        <w:tc>
          <w:tcPr/>
          <w:p>
            <w:pPr>
              <w:pStyle w:val="Compact"/>
            </w:pPr>
            <w:r>
              <w:rPr>
                <w:b/>
                <w:bCs/>
              </w:rPr>
              <w:t xml:space="preserve">Webマーケティング</w:t>
            </w:r>
          </w:p>
        </w:tc>
        <w:tc>
          <w:tcPr/>
          <w:p>
            <w:pPr>
              <w:pStyle w:val="Compact"/>
            </w:pPr>
            <w:r>
              <w:rPr>
                <w:rFonts w:hint="eastAsia"/>
              </w:rPr>
              <w:t xml:space="preserve">景表法・薬機法・ステマ規制・GA4対応</w:t>
            </w:r>
          </w:p>
        </w:tc>
      </w:tr>
      <w:tr>
        <w:tc>
          <w:tcPr/>
          <w:p>
            <w:pPr>
              <w:pStyle w:val="Compact"/>
            </w:pPr>
            <w:r>
              <w:rPr>
                <w:rFonts w:hint="eastAsia"/>
                <w:b/>
                <w:bCs/>
              </w:rPr>
              <w:t xml:space="preserve">採用代行</w:t>
            </w:r>
          </w:p>
        </w:tc>
        <w:tc>
          <w:tcPr/>
          <w:p>
            <w:pPr>
              <w:pStyle w:val="Compact"/>
            </w:pPr>
            <w:r>
              <w:rPr>
                <w:rFonts w:hint="eastAsia"/>
              </w:rPr>
              <w:t xml:space="preserve">職業安定法・個人情報保護法・性別差別禁止</w:t>
            </w:r>
          </w:p>
        </w:tc>
      </w:tr>
      <w:tr>
        <w:tc>
          <w:tcPr/>
          <w:p>
            <w:pPr>
              <w:pStyle w:val="Compact"/>
            </w:pPr>
            <w:r>
              <w:rPr>
                <w:b/>
                <w:bCs/>
              </w:rPr>
              <w:t xml:space="preserve">コンサルティング</w:t>
            </w:r>
          </w:p>
        </w:tc>
        <w:tc>
          <w:tcPr/>
          <w:p>
            <w:pPr>
              <w:pStyle w:val="Compact"/>
            </w:pPr>
            <w:r>
              <w:rPr>
                <w:rFonts w:hint="eastAsia"/>
              </w:rPr>
              <w:t xml:space="preserve">機密保持・知財帰属・成果保証回避</w:t>
            </w:r>
          </w:p>
        </w:tc>
      </w:tr>
      <w:tr>
        <w:tc>
          <w:tcPr/>
          <w:p>
            <w:pPr>
              <w:pStyle w:val="Compact"/>
            </w:pPr>
            <w:r>
              <w:rPr>
                <w:rFonts w:hint="eastAsia"/>
                <w:b/>
                <w:bCs/>
              </w:rPr>
              <w:t xml:space="preserve">債権回収</w:t>
            </w:r>
          </w:p>
        </w:tc>
        <w:tc>
          <w:tcPr/>
          <w:p>
            <w:pPr>
              <w:pStyle w:val="Compact"/>
            </w:pPr>
            <w:r>
              <w:rPr>
                <w:rFonts w:hint="eastAsia"/>
              </w:rPr>
              <w:t xml:space="preserve">弁護士法第72条(非弁行為禁止)対応</w:t>
            </w:r>
          </w:p>
        </w:tc>
      </w:tr>
      <w:tr>
        <w:tc>
          <w:tcPr/>
          <w:p>
            <w:pPr>
              <w:pStyle w:val="Compact"/>
            </w:pPr>
            <w:r>
              <w:rPr>
                <w:rFonts w:hint="eastAsia"/>
                <w:b/>
                <w:bCs/>
              </w:rPr>
              <w:t xml:space="preserve">不動産仲介</w:t>
            </w:r>
          </w:p>
        </w:tc>
        <w:tc>
          <w:tcPr/>
          <w:p>
            <w:pPr>
              <w:pStyle w:val="Compact"/>
            </w:pPr>
            <w:r>
              <w:rPr>
                <w:rFonts w:hint="eastAsia"/>
              </w:rPr>
              <w:t xml:space="preserve">宅建業法・媒介報酬の上限</w:t>
            </w:r>
          </w:p>
        </w:tc>
      </w:tr>
      <w:tr>
        <w:tc>
          <w:tcPr/>
          <w:p>
            <w:pPr>
              <w:pStyle w:val="Compact"/>
            </w:pPr>
            <w:r>
              <w:rPr>
                <w:rFonts w:hint="eastAsia"/>
                <w:b/>
                <w:bCs/>
              </w:rPr>
              <w:t xml:space="preserve">金融商品仲介</w:t>
            </w:r>
          </w:p>
        </w:tc>
        <w:tc>
          <w:tcPr/>
          <w:p>
            <w:pPr>
              <w:pStyle w:val="Compact"/>
            </w:pPr>
            <w:r>
              <w:rPr>
                <w:rFonts w:hint="eastAsia"/>
              </w:rPr>
              <w:t xml:space="preserve">金商法・募集行為の規制</w:t>
            </w:r>
          </w:p>
        </w:tc>
      </w:tr>
    </w:tbl>
    <w:bookmarkEnd w:id="49"/>
    <w:bookmarkStart w:id="50" w:name="編集時の注意"/>
    <w:p>
      <w:pPr>
        <w:pStyle w:val="Heading3"/>
      </w:pPr>
      <w:r>
        <w:rPr>
          <w:rFonts w:hint="eastAsia"/>
        </w:rPr>
        <w:t xml:space="preserve">編集時の注意</w:t>
      </w:r>
    </w:p>
    <w:p>
      <w:pPr>
        <w:pStyle w:val="Compact"/>
        <w:numPr>
          <w:ilvl w:val="0"/>
          <w:numId w:val="1040"/>
        </w:numPr>
      </w:pPr>
      <w:r>
        <w:t xml:space="preserve">[ </w:t>
      </w:r>
      <w:r>
        <w:rPr>
          <w:rFonts w:hint="eastAsia"/>
        </w:rPr>
        <w:t xml:space="preserve">]括弧内の箇所は、自社の状況に応じて編集してください。</w:t>
      </w:r>
    </w:p>
    <w:p>
      <w:pPr>
        <w:pStyle w:val="Compact"/>
        <w:numPr>
          <w:ilvl w:val="0"/>
          <w:numId w:val="1040"/>
        </w:numPr>
      </w:pPr>
      <w:r>
        <w:rPr>
          <w:rFonts w:hint="eastAsia"/>
        </w:rPr>
        <w:t xml:space="preserve">報酬体系(第4条)は適切なパターンを選択し、不要なパターンを削除してください。</w:t>
      </w:r>
    </w:p>
    <w:p>
      <w:pPr>
        <w:pStyle w:val="Compact"/>
        <w:numPr>
          <w:ilvl w:val="0"/>
          <w:numId w:val="1040"/>
        </w:numPr>
      </w:pPr>
      <w:r>
        <w:rPr>
          <w:rFonts w:hint="eastAsia"/>
        </w:rPr>
        <w:t xml:space="preserve">成果の定義(第3条)は業種に応じた選択肢を採用してください。</w:t>
      </w:r>
    </w:p>
    <w:p>
      <w:pPr>
        <w:pStyle w:val="Compact"/>
        <w:numPr>
          <w:ilvl w:val="0"/>
          <w:numId w:val="1040"/>
        </w:numPr>
      </w:pPr>
      <w:r>
        <w:rPr>
          <w:rFonts w:hint="eastAsia"/>
        </w:rPr>
        <w:t xml:space="preserve">別紙(業務範囲・成果定義・競合他社・報酬計算)は実際の案件に合わせて作成してください。</w:t>
      </w:r>
    </w:p>
    <w:bookmarkEnd w:id="50"/>
    <w:bookmarkStart w:id="51" w:name="トラブル時の相談先"/>
    <w:p>
      <w:pPr>
        <w:pStyle w:val="Heading3"/>
      </w:pPr>
      <w:r>
        <w:rPr>
          <w:rFonts w:hint="eastAsia"/>
        </w:rPr>
        <w:t xml:space="preserve">トラブル時の相談先</w:t>
      </w:r>
    </w:p>
    <w:p>
      <w:pPr>
        <w:pStyle w:val="Compact"/>
        <w:numPr>
          <w:ilvl w:val="0"/>
          <w:numId w:val="1041"/>
        </w:numPr>
      </w:pPr>
      <w:r>
        <w:rPr>
          <w:rFonts w:hint="eastAsia"/>
          <w:b/>
          <w:bCs/>
        </w:rPr>
        <w:t xml:space="preserve">弁護士</w:t>
      </w:r>
      <w:r>
        <w:rPr>
          <w:rFonts w:hint="eastAsia"/>
        </w:rPr>
        <w:t xml:space="preserve">(契約・知的財産・成果報酬・景表法・薬機法等の専門)</w:t>
      </w:r>
    </w:p>
    <w:p>
      <w:pPr>
        <w:pStyle w:val="Compact"/>
        <w:numPr>
          <w:ilvl w:val="0"/>
          <w:numId w:val="1041"/>
        </w:numPr>
      </w:pPr>
      <w:r>
        <w:rPr>
          <w:rFonts w:hint="eastAsia"/>
          <w:b/>
          <w:bCs/>
        </w:rPr>
        <w:t xml:space="preserve">税理士</w:t>
      </w:r>
      <w:r>
        <w:rPr>
          <w:rFonts w:hint="eastAsia"/>
        </w:rPr>
        <w:t xml:space="preserve">(税務処理・印紙税)</w:t>
      </w:r>
    </w:p>
    <w:p>
      <w:pPr>
        <w:pStyle w:val="Compact"/>
        <w:numPr>
          <w:ilvl w:val="0"/>
          <w:numId w:val="1041"/>
        </w:numPr>
      </w:pPr>
      <w:r>
        <w:rPr>
          <w:rFonts w:hint="eastAsia"/>
          <w:b/>
          <w:bCs/>
        </w:rPr>
        <w:t xml:space="preserve">公正取引委員会</w:t>
      </w:r>
      <w:r>
        <w:rPr>
          <w:rFonts w:hint="eastAsia"/>
        </w:rPr>
        <w:t xml:space="preserve">(フリーランス新法違反の相談)</w:t>
      </w:r>
    </w:p>
    <w:p>
      <w:pPr>
        <w:pStyle w:val="Compact"/>
        <w:numPr>
          <w:ilvl w:val="0"/>
          <w:numId w:val="1041"/>
        </w:numPr>
      </w:pPr>
      <w:r>
        <w:rPr>
          <w:rFonts w:hint="eastAsia"/>
          <w:b/>
          <w:bCs/>
        </w:rPr>
        <w:t xml:space="preserve">消費者庁</w:t>
      </w:r>
      <w:r>
        <w:rPr>
          <w:rFonts w:hint="eastAsia"/>
        </w:rPr>
        <w:t xml:space="preserve">(景表法違反の相談)</w:t>
      </w:r>
    </w:p>
    <w:p>
      <w:pPr>
        <w:pStyle w:val="Compact"/>
        <w:numPr>
          <w:ilvl w:val="0"/>
          <w:numId w:val="1041"/>
        </w:numPr>
      </w:pPr>
      <w:r>
        <w:rPr>
          <w:rFonts w:hint="eastAsia"/>
          <w:b/>
          <w:bCs/>
        </w:rPr>
        <w:t xml:space="preserve">業界団体ADR</w:t>
      </w:r>
      <w:r>
        <w:rPr>
          <w:rFonts w:hint="eastAsia"/>
        </w:rPr>
        <w:t xml:space="preserve">(裁判外紛争解決機関)</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をご確認の上ご利用ください。本テンプレートは一般的なひな形であり、特定の事案に関する法的助言を提供するものではありません。規制業種(化粧品・健康食品・金融商品等)での成果報酬契約は、業種特有の規制(薬機法・景表法・金商法等)への対応が不可欠です。重要案件は必ず弁護士等の専門家にご相談ください。</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2026-06-16T00:52:23Z</dcterms:created>
  <dcterms:modified xsi:type="dcterms:W3CDTF">2026-06-16T00:52:23Z</dcterms:modified>
</cp:coreProperties>
</file>

<file path=docProps/custom.xml><?xml version="1.0" encoding="utf-8"?>
<Properties xmlns="http://schemas.openxmlformats.org/officeDocument/2006/custom-properties" xmlns:vt="http://schemas.openxmlformats.org/officeDocument/2006/docPropsVTypes"/>
</file>