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新株予約権割当契約書</w:t>
      </w:r>
    </w:p>
    <w:p>
      <w:pPr>
        <w:pStyle w:val="BlockText"/>
      </w:pPr>
      <w:r>
        <w:t xml:space="preserve">※重要なお願い:</w:t>
      </w:r>
      <w:r>
        <w:br/>
      </w:r>
      <w:r>
        <w:t xml:space="preserve">※本テンプレートは、有償SO・無償SO・税制適格SOに対応した汎用設計です。会社特性・SO類型に応じてカスタマイズしてください。</w:t>
      </w:r>
      <w:r>
        <w:br/>
      </w:r>
      <w:r>
        <w:t xml:space="preserve">※税制適格ストックオプション(租税特別措置法第29条の2)を採用する場合、要件遵守が厳格に求められます(2024年税制改正:行使期間15年・年間限度額3,600万円等への拡大あり)。</w:t>
      </w:r>
      <w:r>
        <w:br/>
      </w:r>
      <w:r>
        <w:t xml:space="preserve">※新株予約権の発行後、2週間以内に法務局への変更登記申請が必要です(会社法第915条)。怠ると過料(100万円以下・会社法第976条)の対象となります。司法書士への依頼を強く推奨します。</w:t>
      </w:r>
      <w:r>
        <w:br/>
      </w:r>
      <w:r>
        <w:t xml:space="preserve">※信託型SOは別途の専門設計が必要なため、本テンプレートの対象外です(2023年5月の国税庁見解変更により慎重対応が必要)。</w:t>
      </w:r>
    </w:p>
    <w:p/>
    <w:p>
      <w:pPr>
        <w:pStyle w:val="Heading2"/>
      </w:pPr>
      <w:r>
        <w:rPr>
          <w:rFonts w:hint="eastAsia"/>
        </w:rPr>
        <w:t xml:space="preserve">新株予約権割当契約書</w:t>
      </w:r>
    </w:p>
    <w:p>
      <w:pPr>
        <w:pStyle w:val="FirstParagraph"/>
      </w:pPr>
      <w:r>
        <w:rPr>
          <w:rFonts w:hint="eastAsia"/>
        </w:rPr>
        <w:t xml:space="preserve">甲の正式名称(発行会社)</w:t>
      </w:r>
      <w:r>
        <w:t xml:space="preserve">と</w:t>
      </w:r>
      <w:r>
        <w:rPr>
          <w:rFonts w:hint="eastAsia"/>
        </w:rPr>
        <w:t xml:space="preserve">乙の氏名(割当対象者)</w:t>
      </w:r>
      <w:r>
        <w:rPr>
          <w:rFonts w:hint="eastAsia"/>
        </w:rPr>
        <w:t xml:space="preserve">とは、甲が乙に対し新株予約権を割り当てることに関し、以下のとおり新株予約権割当契約書(以下「本契約」という。)を締結する。</w:t>
      </w:r>
    </w:p>
    <w:p/>
    <w:p>
      <w:pPr>
        <w:pStyle w:val="Heading3"/>
      </w:pPr>
      <w:r>
        <w:rPr>
          <w:rFonts w:hint="eastAsia"/>
        </w:rPr>
        <w:t xml:space="preserve">第1条(目的)</w:t>
      </w:r>
    </w:p>
    <w:p>
      <w:pPr>
        <w:numPr>
          <w:ilvl w:val="0"/>
          <w:numId w:val="1001"/>
        </w:numPr>
      </w:pPr>
      <w:r>
        <w:rPr>
          <w:rFonts w:hint="eastAsia"/>
        </w:rPr>
        <w:t xml:space="preserve">本契約は、甲が乙に対し、新株予約権を割り当て、乙の貢献に対するインセンティブを付与することにより、甲の中長期的な企業価値向上を図ることを目的とする。</w:t>
      </w:r>
    </w:p>
    <w:p>
      <w:pPr>
        <w:numPr>
          <w:ilvl w:val="0"/>
          <w:numId w:val="1001"/>
        </w:numPr>
      </w:pPr>
      <w:r>
        <w:rPr>
          <w:rFonts w:hint="eastAsia"/>
        </w:rPr>
        <w:t xml:space="preserve">本契約に基づく新株予約権の類型は、以下のいずれかとする。</w:t>
      </w:r>
    </w:p>
    <w:p>
      <w:pPr>
        <w:numPr>
          <w:ilvl w:val="0"/>
          <w:numId w:val="1000"/>
        </w:numPr>
      </w:pPr>
      <w:r>
        <w:t xml:space="preserve">☐</w:t>
      </w:r>
      <w:r>
        <w:t xml:space="preserve"> </w:t>
      </w:r>
      <w:r>
        <w:rPr>
          <w:rFonts w:hint="eastAsia"/>
          <w:b/>
          <w:bCs/>
        </w:rPr>
        <w:t xml:space="preserve">税制適格ストックオプション</w:t>
      </w:r>
      <w:r>
        <w:rPr>
          <w:rFonts w:hint="eastAsia"/>
        </w:rPr>
        <w:t xml:space="preserve">(租税特別措置法第29条の2に定める要件を満たすもの)</w:t>
      </w:r>
      <w:r>
        <w:t xml:space="preserve"> </w:t>
      </w:r>
      <w:r>
        <w:t xml:space="preserve">☐</w:t>
      </w:r>
      <w:r>
        <w:t xml:space="preserve"> </w:t>
      </w:r>
      <w:r>
        <w:rPr>
          <w:rFonts w:hint="eastAsia"/>
          <w:b/>
          <w:bCs/>
        </w:rPr>
        <w:t xml:space="preserve">無償ストックオプション</w:t>
      </w:r>
      <w:r>
        <w:rPr>
          <w:rFonts w:hint="eastAsia"/>
        </w:rPr>
        <w:t xml:space="preserve">(有償の払込みなしに割り当てるもの)</w:t>
      </w:r>
      <w:r>
        <w:t xml:space="preserve"> </w:t>
      </w:r>
      <w:r>
        <w:t xml:space="preserve">☐</w:t>
      </w:r>
      <w:r>
        <w:t xml:space="preserve"> </w:t>
      </w:r>
      <w:r>
        <w:rPr>
          <w:rFonts w:hint="eastAsia"/>
          <w:b/>
          <w:bCs/>
        </w:rPr>
        <w:t xml:space="preserve">有償ストックオプション</w:t>
      </w:r>
      <w:r>
        <w:rPr>
          <w:rFonts w:hint="eastAsia"/>
        </w:rPr>
        <w:t xml:space="preserve">(公正価格に基づく払込みを伴うもの)</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t xml:space="preserve">「</w:t>
      </w:r>
      <w:r>
        <w:rPr>
          <w:rFonts w:hint="eastAsia"/>
          <w:b/>
          <w:bCs/>
        </w:rPr>
        <w:t xml:space="preserve">本新株予約権</w:t>
      </w:r>
      <w:r>
        <w:rPr>
          <w:rFonts w:hint="eastAsia"/>
        </w:rPr>
        <w:t xml:space="preserve">」とは、本契約に基づき甲が乙に割り当てる新株予約権をいう。</w:t>
      </w:r>
    </w:p>
    <w:p>
      <w:pPr>
        <w:pStyle w:val="Compact"/>
        <w:numPr>
          <w:ilvl w:val="0"/>
          <w:numId w:val="1002"/>
        </w:numPr>
      </w:pPr>
      <w:r>
        <w:t xml:space="preserve">「</w:t>
      </w:r>
      <w:r>
        <w:rPr>
          <w:rFonts w:hint="eastAsia"/>
          <w:b/>
          <w:bCs/>
        </w:rPr>
        <w:t xml:space="preserve">発行決議</w:t>
      </w:r>
      <w:r>
        <w:rPr>
          <w:rFonts w:hint="eastAsia"/>
        </w:rPr>
        <w:t xml:space="preserve">」とは、本新株予約権の発行に係る[YYYY年MM月DD日]付け[株主総会/取締役会]決議をいう。</w:t>
      </w:r>
    </w:p>
    <w:p>
      <w:pPr>
        <w:pStyle w:val="Compact"/>
        <w:numPr>
          <w:ilvl w:val="0"/>
          <w:numId w:val="1002"/>
        </w:numPr>
      </w:pPr>
      <w:r>
        <w:t xml:space="preserve">「</w:t>
      </w:r>
      <w:r>
        <w:rPr>
          <w:rFonts w:hint="eastAsia"/>
          <w:b/>
          <w:bCs/>
        </w:rPr>
        <w:t xml:space="preserve">行使価格</w:t>
      </w:r>
      <w:r>
        <w:rPr>
          <w:rFonts w:hint="eastAsia"/>
        </w:rPr>
        <w:t xml:space="preserve">」とは、本新株予約権1個の行使により乙が甲に払い込むべき金額をいう。</w:t>
      </w:r>
    </w:p>
    <w:p>
      <w:pPr>
        <w:pStyle w:val="Compact"/>
        <w:numPr>
          <w:ilvl w:val="0"/>
          <w:numId w:val="1002"/>
        </w:numPr>
      </w:pPr>
      <w:r>
        <w:t xml:space="preserve">「</w:t>
      </w:r>
      <w:r>
        <w:rPr>
          <w:rFonts w:hint="eastAsia"/>
          <w:b/>
          <w:bCs/>
        </w:rPr>
        <w:t xml:space="preserve">行使期間</w:t>
      </w:r>
      <w:r>
        <w:rPr>
          <w:rFonts w:hint="eastAsia"/>
        </w:rPr>
        <w:t xml:space="preserve">」とは、本新株予約権を行使することができる期間をいう。</w:t>
      </w:r>
    </w:p>
    <w:p>
      <w:pPr>
        <w:pStyle w:val="Compact"/>
        <w:numPr>
          <w:ilvl w:val="0"/>
          <w:numId w:val="1002"/>
        </w:numPr>
      </w:pPr>
      <w:r>
        <w:t xml:space="preserve">「</w:t>
      </w:r>
      <w:r>
        <w:rPr>
          <w:b/>
          <w:bCs/>
        </w:rPr>
        <w:t xml:space="preserve">ベスティング</w:t>
      </w:r>
      <w:r>
        <w:rPr>
          <w:rFonts w:hint="eastAsia"/>
        </w:rPr>
        <w:t xml:space="preserve">」とは、本新株予約権の権利確定(行使可能になること)をいう。</w:t>
      </w:r>
    </w:p>
    <w:p/>
    <w:p>
      <w:pPr>
        <w:pStyle w:val="Heading3"/>
      </w:pPr>
      <w:r>
        <w:rPr>
          <w:rFonts w:hint="eastAsia"/>
        </w:rPr>
        <w:t xml:space="preserve">第3条(本新株予約権の内容)</w:t>
      </w:r>
    </w:p>
    <w:p>
      <w:pPr>
        <w:pStyle w:val="FirstParagraph"/>
      </w:pPr>
      <w:r>
        <w:rPr>
          <w:rFonts w:hint="eastAsia"/>
        </w:rPr>
        <w:t xml:space="preserve">本契約に基づき甲が乙に割り当てる本新株予約権の内容は、以下のとおりである。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発行決議の根拠</w:t>
            </w:r>
          </w:p>
        </w:tc>
        <w:tc>
          <w:tcPr/>
          <w:p>
            <w:pPr>
              <w:pStyle w:val="Compact"/>
            </w:pPr>
            <w:r>
              <w:rPr>
                <w:rFonts w:hint="eastAsia"/>
              </w:rPr>
              <w:t xml:space="preserve">[YYYY年MM月DD日]付け[株主総会の特別決議/取締役会決議]</w:t>
            </w:r>
          </w:p>
        </w:tc>
      </w:tr>
      <w:tr>
        <w:tc>
          <w:tcPr/>
          <w:p>
            <w:pPr>
              <w:pStyle w:val="Compact"/>
            </w:pPr>
            <w:r>
              <w:rPr>
                <w:rFonts w:hint="eastAsia"/>
                <w:b/>
                <w:bCs/>
              </w:rPr>
              <w:t xml:space="preserve">割当個数</w:t>
            </w:r>
          </w:p>
        </w:tc>
        <w:tc>
          <w:tcPr/>
          <w:p>
            <w:pPr>
              <w:pStyle w:val="Compact"/>
            </w:pPr>
            <w:r>
              <w:rPr>
                <w:rFonts w:hint="eastAsia"/>
              </w:rPr>
              <w:t xml:space="preserve">[○○]個</w:t>
            </w:r>
          </w:p>
        </w:tc>
      </w:tr>
      <w:tr>
        <w:tc>
          <w:tcPr/>
          <w:p>
            <w:pPr>
              <w:pStyle w:val="Compact"/>
            </w:pPr>
            <w:r>
              <w:rPr>
                <w:rFonts w:hint="eastAsia"/>
                <w:b/>
                <w:bCs/>
              </w:rPr>
              <w:t xml:space="preserve">1個あたりの株式数</w:t>
            </w:r>
          </w:p>
        </w:tc>
        <w:tc>
          <w:tcPr/>
          <w:p>
            <w:pPr>
              <w:pStyle w:val="Compact"/>
            </w:pPr>
            <w:r>
              <w:rPr>
                <w:rFonts w:hint="eastAsia"/>
              </w:rPr>
              <w:t xml:space="preserve">[1]株(普通株式)</w:t>
            </w:r>
          </w:p>
        </w:tc>
      </w:tr>
      <w:tr>
        <w:tc>
          <w:tcPr/>
          <w:p>
            <w:pPr>
              <w:pStyle w:val="Compact"/>
            </w:pPr>
            <w:r>
              <w:rPr>
                <w:rFonts w:hint="eastAsia"/>
                <w:b/>
                <w:bCs/>
              </w:rPr>
              <w:t xml:space="preserve">本新株予約権の合計株式数</w:t>
            </w:r>
          </w:p>
        </w:tc>
        <w:tc>
          <w:tcPr/>
          <w:p>
            <w:pPr>
              <w:pStyle w:val="Compact"/>
            </w:pPr>
            <w:r>
              <w:rPr>
                <w:rFonts w:hint="eastAsia"/>
              </w:rPr>
              <w:t xml:space="preserve">[○○]株(=割当個数×1個あたりの株式数)</w:t>
            </w:r>
          </w:p>
        </w:tc>
      </w:tr>
      <w:tr>
        <w:tc>
          <w:tcPr/>
          <w:p>
            <w:pPr>
              <w:pStyle w:val="Compact"/>
            </w:pPr>
            <w:r>
              <w:rPr>
                <w:rFonts w:hint="eastAsia"/>
                <w:b/>
                <w:bCs/>
              </w:rPr>
              <w:t xml:space="preserve">行使価格(1株あたり)</w:t>
            </w:r>
          </w:p>
        </w:tc>
        <w:tc>
          <w:tcPr/>
          <w:p>
            <w:pPr>
              <w:pStyle w:val="Compact"/>
            </w:pPr>
            <w:r>
              <w:rPr>
                <w:rFonts w:hint="eastAsia"/>
              </w:rPr>
              <w:t xml:space="preserve">金[○○,○○○]円</w:t>
            </w:r>
          </w:p>
        </w:tc>
      </w:tr>
      <w:tr>
        <w:tc>
          <w:tcPr/>
          <w:p>
            <w:pPr>
              <w:pStyle w:val="Compact"/>
            </w:pPr>
            <w:r>
              <w:rPr>
                <w:rFonts w:hint="eastAsia"/>
                <w:b/>
                <w:bCs/>
              </w:rPr>
              <w:t xml:space="preserve">行使期間</w:t>
            </w:r>
          </w:p>
        </w:tc>
        <w:tc>
          <w:tcPr/>
          <w:p>
            <w:pPr>
              <w:pStyle w:val="Compact"/>
            </w:pPr>
            <w:r>
              <w:rPr>
                <w:rFonts w:hint="eastAsia"/>
              </w:rPr>
              <w:t xml:space="preserve">[YYYY年MM月DD日(発行決議の日から2年経過後)]〜[YYYY年MM月DD日(発行決議の日から10年又は15年以内)]</w:t>
            </w:r>
          </w:p>
        </w:tc>
      </w:tr>
      <w:tr>
        <w:tc>
          <w:tcPr/>
          <w:p>
            <w:pPr>
              <w:pStyle w:val="Compact"/>
            </w:pPr>
            <w:r>
              <w:rPr>
                <w:rFonts w:hint="eastAsia"/>
                <w:b/>
                <w:bCs/>
              </w:rPr>
              <w:t xml:space="preserve">割当日</w:t>
            </w:r>
          </w:p>
        </w:tc>
        <w:tc>
          <w:tcPr/>
          <w:p>
            <w:pPr>
              <w:pStyle w:val="Compact"/>
            </w:pPr>
            <w:r>
              <w:rPr>
                <w:rFonts w:hint="eastAsia"/>
              </w:rPr>
              <w:t xml:space="preserve">[YYYY年MM月DD日]</w:t>
            </w:r>
          </w:p>
        </w:tc>
      </w:tr>
      <w:tr>
        <w:tc>
          <w:tcPr/>
          <w:p>
            <w:pPr>
              <w:pStyle w:val="Compact"/>
            </w:pPr>
            <w:r>
              <w:rPr>
                <w:rFonts w:hint="eastAsia"/>
              </w:rPr>
              <w:t xml:space="preserve">割当株式の種類</w:t>
            </w:r>
          </w:p>
        </w:tc>
        <w:tc>
          <w:tcPr/>
          <w:p>
            <w:pPr>
              <w:pStyle w:val="Compact"/>
            </w:pPr>
            <w:r>
              <w:rPr>
                <w:rFonts w:hint="eastAsia"/>
              </w:rPr>
              <w:t xml:space="preserve">普通株式</w:t>
            </w:r>
          </w:p>
        </w:tc>
      </w:tr>
    </w:tbl>
    <w:p>
      <w:pPr>
        <w:pStyle w:val="BodyText"/>
      </w:pPr>
      <w:r>
        <w:rPr>
          <w:rFonts w:hint="eastAsia"/>
        </w:rPr>
        <w:t xml:space="preserve">(注)税制適格ストックオプションの場合、行使期間は発行決議の日から2年経過後10年以内(設立から5年未満のスタートアップは15年以内、2024年税制改正)である必要があります。</w:t>
      </w:r>
    </w:p>
    <w:p/>
    <w:p>
      <w:pPr>
        <w:pStyle w:val="Heading3"/>
      </w:pPr>
      <w:r>
        <w:rPr>
          <w:rFonts w:hint="eastAsia"/>
        </w:rPr>
        <w:t xml:space="preserve">第4条(払込金額)</w:t>
      </w:r>
    </w:p>
    <w:p>
      <w:pPr>
        <w:numPr>
          <w:ilvl w:val="0"/>
          <w:numId w:val="1003"/>
        </w:numPr>
      </w:pPr>
      <w:r>
        <w:rPr>
          <w:rFonts w:hint="eastAsia"/>
        </w:rPr>
        <w:t xml:space="preserve">本新株予約権の払込金額(1個あたり)は、以下のとおりとする。</w:t>
      </w:r>
    </w:p>
    <w:p>
      <w:pPr>
        <w:numPr>
          <w:ilvl w:val="0"/>
          <w:numId w:val="1000"/>
        </w:numPr>
      </w:pPr>
      <w:r>
        <w:t xml:space="preserve">☐</w:t>
      </w:r>
      <w:r>
        <w:t xml:space="preserve"> </w:t>
      </w:r>
      <w:r>
        <w:rPr>
          <w:rFonts w:hint="eastAsia"/>
          <w:b/>
          <w:bCs/>
        </w:rPr>
        <w:t xml:space="preserve">無償</w:t>
      </w:r>
      <w:r>
        <w:rPr>
          <w:rFonts w:hint="eastAsia"/>
        </w:rPr>
        <w:t xml:space="preserve">(0円・無償SO・税制適格SO)</w:t>
      </w:r>
      <w:r>
        <w:t xml:space="preserve"> </w:t>
      </w:r>
      <w:r>
        <w:t xml:space="preserve">☐</w:t>
      </w:r>
      <w:r>
        <w:t xml:space="preserve"> </w:t>
      </w:r>
      <w:r>
        <w:rPr>
          <w:rFonts w:hint="eastAsia"/>
          <w:b/>
          <w:bCs/>
        </w:rPr>
        <w:t xml:space="preserve">金[○○,○○○]円(税抜)</w:t>
      </w:r>
      <w:r>
        <w:rPr>
          <w:rFonts w:hint="eastAsia"/>
        </w:rPr>
        <w:t xml:space="preserve">(有償SO・公正価格)</w:t>
      </w:r>
    </w:p>
    <w:p>
      <w:pPr>
        <w:numPr>
          <w:ilvl w:val="0"/>
          <w:numId w:val="1003"/>
        </w:numPr>
      </w:pPr>
      <w:r>
        <w:rPr>
          <w:rFonts w:hint="eastAsia"/>
        </w:rPr>
        <w:t xml:space="preserve">有償SOの場合、乙は割当日から[14]日以内に、甲の指定する銀行口座に払込金額を払い込む。</w:t>
      </w:r>
    </w:p>
    <w:p/>
    <w:p>
      <w:pPr>
        <w:pStyle w:val="Heading3"/>
      </w:pPr>
      <w:r>
        <w:rPr>
          <w:rFonts w:hint="eastAsia"/>
        </w:rPr>
        <w:t xml:space="preserve">第5条(行使条件・ベスティング)</w:t>
      </w:r>
    </w:p>
    <w:p>
      <w:pPr>
        <w:pStyle w:val="Compact"/>
        <w:numPr>
          <w:ilvl w:val="0"/>
          <w:numId w:val="1004"/>
        </w:numPr>
      </w:pPr>
      <w:r>
        <w:rPr>
          <w:rFonts w:hint="eastAsia"/>
        </w:rPr>
        <w:t xml:space="preserve">本新株予約権の行使は、以下のベスティング(権利確定)スケジュールに従い、確定した部分のみ可能とする。</w:t>
      </w:r>
    </w:p>
    <w:p/>
    <w:p>
      <w:pPr>
        <w:pStyle w:val="Heading4"/>
      </w:pPr>
      <w:r>
        <w:rPr>
          <w:rFonts w:hint="eastAsia"/>
        </w:rPr>
        <w:t xml:space="preserve">スケジュールA(米国スタートアップ標準:4年ベスティング+1年クリフ)</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経過期間</w:t>
            </w:r>
          </w:p>
        </w:tc>
        <w:tc>
          <w:tcPr/>
          <w:p>
            <w:pPr>
              <w:pStyle w:val="Compact"/>
            </w:pPr>
            <w:r>
              <w:rPr>
                <w:rFonts w:hint="eastAsia"/>
              </w:rPr>
              <w:t xml:space="preserve">確定する割合(累計)</w:t>
            </w:r>
          </w:p>
        </w:tc>
        <w:tc>
          <w:tcPr/>
          <w:p>
            <w:pPr>
              <w:pStyle w:val="Compact"/>
            </w:pPr>
            <w:r>
              <w:rPr>
                <w:rFonts w:hint="eastAsia"/>
              </w:rPr>
              <w:t xml:space="preserve">確定する個数</w:t>
            </w:r>
          </w:p>
        </w:tc>
      </w:tr>
      <w:tr>
        <w:tc>
          <w:tcPr/>
          <w:p>
            <w:pPr>
              <w:pStyle w:val="Compact"/>
            </w:pPr>
            <w:r>
              <w:rPr>
                <w:rFonts w:hint="eastAsia"/>
              </w:rPr>
              <w:t xml:space="preserve">1年未満(クリフ期間)</w:t>
            </w:r>
          </w:p>
        </w:tc>
        <w:tc>
          <w:tcPr/>
          <w:p>
            <w:pPr>
              <w:pStyle w:val="Compact"/>
            </w:pPr>
            <w:r>
              <w:t xml:space="preserve">0%</w:t>
            </w:r>
          </w:p>
        </w:tc>
        <w:tc>
          <w:tcPr/>
          <w:p>
            <w:pPr>
              <w:pStyle w:val="Compact"/>
            </w:pPr>
            <w:r>
              <w:rPr>
                <w:rFonts w:hint="eastAsia"/>
              </w:rPr>
              <w:t xml:space="preserve">0個</w:t>
            </w:r>
          </w:p>
        </w:tc>
      </w:tr>
      <w:tr>
        <w:tc>
          <w:tcPr/>
          <w:p>
            <w:pPr>
              <w:pStyle w:val="Compact"/>
            </w:pPr>
            <w:r>
              <w:rPr>
                <w:rFonts w:hint="eastAsia"/>
              </w:rPr>
              <w:t xml:space="preserve">1年経過時</w:t>
            </w:r>
          </w:p>
        </w:tc>
        <w:tc>
          <w:tcPr/>
          <w:p>
            <w:pPr>
              <w:pStyle w:val="Compact"/>
            </w:pPr>
            <w:r>
              <w:t xml:space="preserve">25%</w:t>
            </w:r>
          </w:p>
        </w:tc>
        <w:tc>
          <w:tcPr/>
          <w:p>
            <w:pPr>
              <w:pStyle w:val="Compact"/>
            </w:pPr>
            <w:r>
              <w:rPr>
                <w:rFonts w:hint="eastAsia"/>
              </w:rPr>
              <w:t xml:space="preserve">[○]個</w:t>
            </w:r>
          </w:p>
        </w:tc>
      </w:tr>
      <w:tr>
        <w:tc>
          <w:tcPr/>
          <w:p>
            <w:pPr>
              <w:pStyle w:val="Compact"/>
            </w:pPr>
            <w:r>
              <w:rPr>
                <w:rFonts w:hint="eastAsia"/>
              </w:rPr>
              <w:t xml:space="preserve">2年経過時</w:t>
            </w:r>
          </w:p>
        </w:tc>
        <w:tc>
          <w:tcPr/>
          <w:p>
            <w:pPr>
              <w:pStyle w:val="Compact"/>
            </w:pPr>
            <w:r>
              <w:t xml:space="preserve">50%</w:t>
            </w:r>
          </w:p>
        </w:tc>
        <w:tc>
          <w:tcPr/>
          <w:p>
            <w:pPr>
              <w:pStyle w:val="Compact"/>
            </w:pPr>
            <w:r>
              <w:rPr>
                <w:rFonts w:hint="eastAsia"/>
              </w:rPr>
              <w:t xml:space="preserve">[○]個</w:t>
            </w:r>
          </w:p>
        </w:tc>
      </w:tr>
      <w:tr>
        <w:tc>
          <w:tcPr/>
          <w:p>
            <w:pPr>
              <w:pStyle w:val="Compact"/>
            </w:pPr>
            <w:r>
              <w:rPr>
                <w:rFonts w:hint="eastAsia"/>
              </w:rPr>
              <w:t xml:space="preserve">3年経過時</w:t>
            </w:r>
          </w:p>
        </w:tc>
        <w:tc>
          <w:tcPr/>
          <w:p>
            <w:pPr>
              <w:pStyle w:val="Compact"/>
            </w:pPr>
            <w:r>
              <w:t xml:space="preserve">75%</w:t>
            </w:r>
          </w:p>
        </w:tc>
        <w:tc>
          <w:tcPr/>
          <w:p>
            <w:pPr>
              <w:pStyle w:val="Compact"/>
            </w:pPr>
            <w:r>
              <w:rPr>
                <w:rFonts w:hint="eastAsia"/>
              </w:rPr>
              <w:t xml:space="preserve">[○]個</w:t>
            </w:r>
          </w:p>
        </w:tc>
      </w:tr>
      <w:tr>
        <w:tc>
          <w:tcPr/>
          <w:p>
            <w:pPr>
              <w:pStyle w:val="Compact"/>
            </w:pPr>
            <w:r>
              <w:rPr>
                <w:rFonts w:hint="eastAsia"/>
                <w:b/>
                <w:bCs/>
              </w:rPr>
              <w:t xml:space="preserve">4年経過時</w:t>
            </w:r>
          </w:p>
        </w:tc>
        <w:tc>
          <w:tcPr/>
          <w:p>
            <w:pPr>
              <w:pStyle w:val="Compact"/>
            </w:pPr>
            <w:r>
              <w:rPr>
                <w:b/>
                <w:bCs/>
              </w:rPr>
              <w:t xml:space="preserve">100%</w:t>
            </w:r>
          </w:p>
        </w:tc>
        <w:tc>
          <w:tcPr/>
          <w:p>
            <w:pPr>
              <w:pStyle w:val="Compact"/>
            </w:pPr>
            <w:r>
              <w:rPr>
                <w:rFonts w:hint="eastAsia"/>
                <w:b/>
                <w:bCs/>
              </w:rPr>
              <w:t xml:space="preserve">[○]個</w:t>
            </w:r>
          </w:p>
        </w:tc>
      </w:tr>
    </w:tbl>
    <w:p/>
    <w:p>
      <w:pPr>
        <w:pStyle w:val="Heading4"/>
      </w:pPr>
      <w:r>
        <w:rPr>
          <w:rFonts w:hint="eastAsia"/>
        </w:rPr>
        <w:t xml:space="preserve">スケジュールB(日本スタートアップ標準:2年ベスティング)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経過期間</w:t>
            </w:r>
          </w:p>
        </w:tc>
        <w:tc>
          <w:tcPr/>
          <w:p>
            <w:pPr>
              <w:pStyle w:val="Compact"/>
            </w:pPr>
            <w:r>
              <w:rPr>
                <w:rFonts w:hint="eastAsia"/>
              </w:rPr>
              <w:t xml:space="preserve">確定する割合(累計)</w:t>
            </w:r>
          </w:p>
        </w:tc>
      </w:tr>
      <w:tr>
        <w:tc>
          <w:tcPr/>
          <w:p>
            <w:pPr>
              <w:pStyle w:val="Compact"/>
            </w:pPr>
            <w:r>
              <w:rPr>
                <w:rFonts w:hint="eastAsia"/>
              </w:rPr>
              <w:t xml:space="preserve">1年未満</w:t>
            </w:r>
          </w:p>
        </w:tc>
        <w:tc>
          <w:tcPr/>
          <w:p>
            <w:pPr>
              <w:pStyle w:val="Compact"/>
            </w:pPr>
            <w:r>
              <w:t xml:space="preserve">0%</w:t>
            </w:r>
          </w:p>
        </w:tc>
      </w:tr>
      <w:tr>
        <w:tc>
          <w:tcPr/>
          <w:p>
            <w:pPr>
              <w:pStyle w:val="Compact"/>
            </w:pPr>
            <w:r>
              <w:rPr>
                <w:rFonts w:hint="eastAsia"/>
              </w:rPr>
              <w:t xml:space="preserve">1年経過時</w:t>
            </w:r>
          </w:p>
        </w:tc>
        <w:tc>
          <w:tcPr/>
          <w:p>
            <w:pPr>
              <w:pStyle w:val="Compact"/>
            </w:pPr>
            <w:r>
              <w:t xml:space="preserve">50%</w:t>
            </w:r>
          </w:p>
        </w:tc>
      </w:tr>
      <w:tr>
        <w:tc>
          <w:tcPr/>
          <w:p>
            <w:pPr>
              <w:pStyle w:val="Compact"/>
            </w:pPr>
            <w:r>
              <w:rPr>
                <w:rFonts w:hint="eastAsia"/>
              </w:rPr>
              <w:t xml:space="preserve">2年経過時</w:t>
            </w:r>
          </w:p>
        </w:tc>
        <w:tc>
          <w:tcPr/>
          <w:p>
            <w:pPr>
              <w:pStyle w:val="Compact"/>
            </w:pPr>
            <w:r>
              <w:t xml:space="preserve">100%</w:t>
            </w:r>
          </w:p>
        </w:tc>
      </w:tr>
    </w:tbl>
    <w:p>
      <w:pPr>
        <w:numPr>
          <w:ilvl w:val="0"/>
          <w:numId w:val="1005"/>
        </w:numPr>
      </w:pPr>
      <w:r>
        <w:rPr>
          <w:rFonts w:hint="eastAsia"/>
        </w:rPr>
        <w:t xml:space="preserve">ベスティングの起算日は、[YYYY年MM月DD日(割当日又は雇用開始日)]とする。</w:t>
      </w:r>
    </w:p>
    <w:p>
      <w:pPr>
        <w:numPr>
          <w:ilvl w:val="0"/>
          <w:numId w:val="1005"/>
        </w:numPr>
      </w:pPr>
      <w:r>
        <w:rPr>
          <w:rFonts w:hint="eastAsia"/>
        </w:rPr>
        <w:t xml:space="preserve">本新株予約権の行使は、乙が以下の要件を満たしている場合に限り、可能とする。</w:t>
      </w:r>
    </w:p>
    <w:p>
      <w:pPr>
        <w:pStyle w:val="Compact"/>
        <w:numPr>
          <w:ilvl w:val="1"/>
          <w:numId w:val="1006"/>
        </w:numPr>
      </w:pPr>
      <w:r>
        <w:rPr>
          <w:rFonts w:hint="eastAsia"/>
        </w:rPr>
        <w:t xml:space="preserve">甲(又は甲の子会社)の取締役、執行役、使用人(従業員)、その他の正規の地位を有していること</w:t>
      </w:r>
    </w:p>
    <w:p>
      <w:pPr>
        <w:pStyle w:val="Compact"/>
        <w:numPr>
          <w:ilvl w:val="1"/>
          <w:numId w:val="1006"/>
        </w:numPr>
      </w:pPr>
      <w:r>
        <w:rPr>
          <w:rFonts w:hint="eastAsia"/>
        </w:rPr>
        <w:t xml:space="preserve">上記(1)の地位を、行使日まで継続して保有していること</w:t>
      </w:r>
    </w:p>
    <w:p>
      <w:pPr>
        <w:pStyle w:val="Compact"/>
        <w:numPr>
          <w:ilvl w:val="1"/>
          <w:numId w:val="1006"/>
        </w:numPr>
      </w:pPr>
      <w:r>
        <w:rPr>
          <w:rFonts w:hint="eastAsia"/>
        </w:rPr>
        <w:t xml:space="preserve">本契約その他の関連書類に違反していないこと</w:t>
      </w:r>
    </w:p>
    <w:p>
      <w:pPr>
        <w:pStyle w:val="FirstParagraph"/>
      </w:pPr>
      <w:r>
        <w:rPr>
          <w:rFonts w:hint="eastAsia"/>
        </w:rPr>
        <w:t xml:space="preserve">(注)税制適格SOの場合、付与対象者は甲又は甲の子会社の取締役・使用人に限定されます(社外取締役・大口株主等は対象外)。</w:t>
      </w:r>
    </w:p>
    <w:p/>
    <w:p>
      <w:pPr>
        <w:pStyle w:val="Heading3"/>
      </w:pPr>
      <w:r>
        <w:rPr>
          <w:rFonts w:hint="eastAsia"/>
        </w:rPr>
        <w:t xml:space="preserve">第6条(行使方法)</w:t>
      </w:r>
    </w:p>
    <w:p>
      <w:pPr>
        <w:pStyle w:val="Compact"/>
        <w:numPr>
          <w:ilvl w:val="0"/>
          <w:numId w:val="1007"/>
        </w:numPr>
      </w:pPr>
      <w:r>
        <w:rPr>
          <w:rFonts w:hint="eastAsia"/>
        </w:rPr>
        <w:t xml:space="preserve">乙は、本新株予約権を行使する場合、以下の手続きに従う。</w:t>
      </w:r>
    </w:p>
    <w:p>
      <w:pPr>
        <w:pStyle w:val="Compact"/>
        <w:numPr>
          <w:ilvl w:val="1"/>
          <w:numId w:val="1008"/>
        </w:numPr>
      </w:pPr>
      <w:r>
        <w:rPr>
          <w:rFonts w:hint="eastAsia"/>
        </w:rPr>
        <w:t xml:space="preserve">行使請求書を甲に提出</w:t>
      </w:r>
    </w:p>
    <w:p>
      <w:pPr>
        <w:pStyle w:val="Compact"/>
        <w:numPr>
          <w:ilvl w:val="1"/>
          <w:numId w:val="1008"/>
        </w:numPr>
      </w:pPr>
      <w:r>
        <w:rPr>
          <w:rFonts w:hint="eastAsia"/>
        </w:rPr>
        <w:t xml:space="preserve">行使価格×行使する株式数の金額を、甲の指定する銀行口座に払い込み</w:t>
      </w:r>
    </w:p>
    <w:p>
      <w:pPr>
        <w:pStyle w:val="Compact"/>
        <w:numPr>
          <w:ilvl w:val="1"/>
          <w:numId w:val="1008"/>
        </w:numPr>
      </w:pPr>
      <w:r>
        <w:rPr>
          <w:rFonts w:hint="eastAsia"/>
        </w:rPr>
        <w:t xml:space="preserve">甲は払込確認後、株主名簿への記載・株式の発行を行う</w:t>
      </w:r>
    </w:p>
    <w:p>
      <w:pPr>
        <w:pStyle w:val="Compact"/>
        <w:numPr>
          <w:ilvl w:val="0"/>
          <w:numId w:val="1007"/>
        </w:numPr>
      </w:pPr>
      <w:r>
        <w:rPr>
          <w:rFonts w:hint="eastAsia"/>
        </w:rPr>
        <w:t xml:space="preserve">行使請求は、行使期間内に行うものとする。</w:t>
      </w:r>
    </w:p>
    <w:p>
      <w:pPr>
        <w:pStyle w:val="Compact"/>
        <w:numPr>
          <w:ilvl w:val="0"/>
          <w:numId w:val="1007"/>
        </w:numPr>
      </w:pPr>
      <w:r>
        <w:rPr>
          <w:rFonts w:hint="eastAsia"/>
        </w:rPr>
        <w:t xml:space="preserve">行使請求の単位は、本新株予約権1個単位とする(分割行使可能)。</w:t>
      </w:r>
    </w:p>
    <w:p/>
    <w:p>
      <w:pPr>
        <w:pStyle w:val="Heading3"/>
      </w:pPr>
      <w:r>
        <w:rPr>
          <w:rFonts w:hint="eastAsia"/>
        </w:rPr>
        <w:t xml:space="preserve">第7条(行使価格の調整)</w:t>
      </w:r>
    </w:p>
    <w:p>
      <w:pPr>
        <w:pStyle w:val="Compact"/>
        <w:numPr>
          <w:ilvl w:val="0"/>
          <w:numId w:val="1009"/>
        </w:numPr>
      </w:pPr>
      <w:r>
        <w:rPr>
          <w:rFonts w:hint="eastAsia"/>
        </w:rPr>
        <w:t xml:space="preserve">本新株予約権の発行後、以下のいずれかの事由が発生した場合、行使価格は、発行決議に定める算式により調整される。</w:t>
      </w:r>
    </w:p>
    <w:p>
      <w:pPr>
        <w:pStyle w:val="Compact"/>
        <w:numPr>
          <w:ilvl w:val="1"/>
          <w:numId w:val="1010"/>
        </w:numPr>
      </w:pPr>
      <w:r>
        <w:rPr>
          <w:rFonts w:hint="eastAsia"/>
        </w:rPr>
        <w:t xml:space="preserve">株式分割又は株式併合</w:t>
      </w:r>
    </w:p>
    <w:p>
      <w:pPr>
        <w:pStyle w:val="Compact"/>
        <w:numPr>
          <w:ilvl w:val="1"/>
          <w:numId w:val="1010"/>
        </w:numPr>
      </w:pPr>
      <w:r>
        <w:rPr>
          <w:rFonts w:hint="eastAsia"/>
        </w:rPr>
        <w:t xml:space="preserve">時価を下回る価額で株式を新たに発行する場合</w:t>
      </w:r>
    </w:p>
    <w:p>
      <w:pPr>
        <w:pStyle w:val="Compact"/>
        <w:numPr>
          <w:ilvl w:val="1"/>
          <w:numId w:val="1010"/>
        </w:numPr>
      </w:pPr>
      <w:r>
        <w:rPr>
          <w:rFonts w:hint="eastAsia"/>
        </w:rPr>
        <w:t xml:space="preserve">株式の無償割当て</w:t>
      </w:r>
    </w:p>
    <w:p>
      <w:pPr>
        <w:pStyle w:val="Compact"/>
        <w:numPr>
          <w:ilvl w:val="1"/>
          <w:numId w:val="1010"/>
        </w:numPr>
      </w:pPr>
      <w:r>
        <w:rPr>
          <w:rFonts w:hint="eastAsia"/>
        </w:rPr>
        <w:t xml:space="preserve">その他、発行決議に定める事由</w:t>
      </w:r>
    </w:p>
    <w:p>
      <w:pPr>
        <w:pStyle w:val="Compact"/>
        <w:numPr>
          <w:ilvl w:val="0"/>
          <w:numId w:val="1009"/>
        </w:numPr>
      </w:pPr>
      <w:r>
        <w:rPr>
          <w:rFonts w:hint="eastAsia"/>
        </w:rPr>
        <w:t xml:space="preserve">調整後の行使価格・行使可能株式数は、甲が乙に対し書面又は電磁的方法により通知する。</w:t>
      </w:r>
    </w:p>
    <w:p/>
    <w:p>
      <w:pPr>
        <w:pStyle w:val="Heading3"/>
      </w:pPr>
      <w:r>
        <w:rPr>
          <w:rFonts w:hint="eastAsia"/>
        </w:rPr>
        <w:t xml:space="preserve">第8条(税制適格要件の遵守)</w:t>
      </w:r>
    </w:p>
    <w:p>
      <w:pPr>
        <w:pStyle w:val="FirstParagraph"/>
      </w:pPr>
      <w:r>
        <w:rPr>
          <w:rFonts w:hint="eastAsia"/>
        </w:rPr>
        <w:t xml:space="preserve">(本条は税制適格ストックオプションの場合のみ適用する。無償SO・有償SOの場合は本条を削除してください。)</w:t>
      </w:r>
    </w:p>
    <w:p>
      <w:pPr>
        <w:pStyle w:val="Compact"/>
        <w:numPr>
          <w:ilvl w:val="0"/>
          <w:numId w:val="1011"/>
        </w:numPr>
      </w:pPr>
      <w:r>
        <w:rPr>
          <w:rFonts w:hint="eastAsia"/>
        </w:rPr>
        <w:t xml:space="preserve">本新株予約権は、租税特別措置法第29条の2に定める税制適格ストックオプションの要件を満たすことを目的とする。</w:t>
      </w:r>
    </w:p>
    <w:p>
      <w:pPr>
        <w:pStyle w:val="Compact"/>
        <w:numPr>
          <w:ilvl w:val="0"/>
          <w:numId w:val="1011"/>
        </w:numPr>
      </w:pPr>
      <w:r>
        <w:rPr>
          <w:rFonts w:hint="eastAsia"/>
        </w:rPr>
        <w:t xml:space="preserve">乙は、税制適格要件を維持するため、以下を遵守する。</w:t>
      </w:r>
    </w:p>
    <w:p>
      <w:pPr>
        <w:pStyle w:val="Compact"/>
        <w:numPr>
          <w:ilvl w:val="1"/>
          <w:numId w:val="1012"/>
        </w:numPr>
      </w:pPr>
      <w:r>
        <w:rPr>
          <w:rFonts w:hint="eastAsia"/>
        </w:rPr>
        <w:t xml:space="preserve">行使期間:発行決議の日から2年経過後10年以内(設立から5年未満のスタートアップは15年以内)</w:t>
      </w:r>
    </w:p>
    <w:p>
      <w:pPr>
        <w:pStyle w:val="Compact"/>
        <w:numPr>
          <w:ilvl w:val="1"/>
          <w:numId w:val="1012"/>
        </w:numPr>
      </w:pPr>
      <w:r>
        <w:rPr>
          <w:rFonts w:hint="eastAsia"/>
        </w:rPr>
        <w:t xml:space="preserve">年間行使限度額:1人あたり1,200万円以下(設立から5年未満は2,400万円、5年以上20年未満は3,600万円)</w:t>
      </w:r>
    </w:p>
    <w:p>
      <w:pPr>
        <w:pStyle w:val="Compact"/>
        <w:numPr>
          <w:ilvl w:val="1"/>
          <w:numId w:val="1012"/>
        </w:numPr>
      </w:pPr>
      <w:r>
        <w:rPr>
          <w:rFonts w:hint="eastAsia"/>
        </w:rPr>
        <w:t xml:space="preserve">譲渡禁止(後述第10条)</w:t>
      </w:r>
    </w:p>
    <w:p>
      <w:pPr>
        <w:pStyle w:val="Compact"/>
        <w:numPr>
          <w:ilvl w:val="1"/>
          <w:numId w:val="1012"/>
        </w:numPr>
      </w:pPr>
      <w:r>
        <w:rPr>
          <w:rFonts w:hint="eastAsia"/>
        </w:rPr>
        <w:t xml:space="preserve">株式の保管委託(後述第9条)</w:t>
      </w:r>
    </w:p>
    <w:p>
      <w:pPr>
        <w:pStyle w:val="Compact"/>
        <w:numPr>
          <w:ilvl w:val="0"/>
          <w:numId w:val="1011"/>
        </w:numPr>
      </w:pPr>
      <w:r>
        <w:rPr>
          <w:rFonts w:hint="eastAsia"/>
        </w:rPr>
        <w:t xml:space="preserve">税制適格要件を満たさない場合、行使時に給与所得課税となる可能性があり、乙はこれを了承する。</w:t>
      </w:r>
    </w:p>
    <w:p>
      <w:pPr>
        <w:pStyle w:val="Compact"/>
        <w:numPr>
          <w:ilvl w:val="0"/>
          <w:numId w:val="1011"/>
        </w:numPr>
      </w:pPr>
      <w:r>
        <w:rPr>
          <w:rFonts w:hint="eastAsia"/>
        </w:rPr>
        <w:t xml:space="preserve">乙が本条の要件を維持できなくなった場合、速やかに甲に通知する。</w:t>
      </w:r>
    </w:p>
    <w:p>
      <w:pPr>
        <w:pStyle w:val="FirstParagraph"/>
      </w:pPr>
      <w:r>
        <w:rPr>
          <w:rFonts w:hint="eastAsia"/>
        </w:rPr>
        <w:t xml:space="preserve">(注)2024年税制改正により、税制適格SOの要件が大幅に拡充されました。最新の要件・限度額は税理士相談のもとで確認してください。</w:t>
      </w:r>
    </w:p>
    <w:p/>
    <w:p>
      <w:pPr>
        <w:pStyle w:val="Heading3"/>
      </w:pPr>
      <w:r>
        <w:rPr>
          <w:rFonts w:hint="eastAsia"/>
        </w:rPr>
        <w:t xml:space="preserve">第9条(株式の保管委託)</w:t>
      </w:r>
    </w:p>
    <w:p>
      <w:pPr>
        <w:pStyle w:val="FirstParagraph"/>
      </w:pPr>
      <w:r>
        <w:rPr>
          <w:rFonts w:hint="eastAsia"/>
        </w:rPr>
        <w:t xml:space="preserve">(本条は税制適格ストックオプションの場合のみ適用する。)</w:t>
      </w:r>
    </w:p>
    <w:p>
      <w:pPr>
        <w:pStyle w:val="Compact"/>
        <w:numPr>
          <w:ilvl w:val="0"/>
          <w:numId w:val="1013"/>
        </w:numPr>
      </w:pPr>
      <w:r>
        <w:rPr>
          <w:rFonts w:hint="eastAsia"/>
        </w:rPr>
        <w:t xml:space="preserve">乙は、本新株予約権の行使により取得した株式について、甲が指定する金融商品取引業者(証券会社等)又は信託銀行との間で、株式の保管委託契約を締結する。</w:t>
      </w:r>
    </w:p>
    <w:p>
      <w:pPr>
        <w:pStyle w:val="Compact"/>
        <w:numPr>
          <w:ilvl w:val="0"/>
          <w:numId w:val="1013"/>
        </w:numPr>
      </w:pPr>
      <w:r>
        <w:rPr>
          <w:rFonts w:hint="eastAsia"/>
        </w:rPr>
        <w:t xml:space="preserve">株式の保管委託契約の期間は、税制適格ストックオプションの要件を維持するために必要な期間(原則として行使後の株式の保有期間全期間)とする。</w:t>
      </w:r>
    </w:p>
    <w:p>
      <w:pPr>
        <w:pStyle w:val="Compact"/>
        <w:numPr>
          <w:ilvl w:val="0"/>
          <w:numId w:val="1013"/>
        </w:numPr>
      </w:pPr>
      <w:r>
        <w:rPr>
          <w:rFonts w:hint="eastAsia"/>
        </w:rPr>
        <w:t xml:space="preserve">保管委託契約の費用は、原則として乙の負担とする(別途甲乙協議の上、定めることができる)。</w:t>
      </w:r>
    </w:p>
    <w:p>
      <w:pPr>
        <w:pStyle w:val="FirstParagraph"/>
      </w:pPr>
      <w:r>
        <w:rPr>
          <w:rFonts w:hint="eastAsia"/>
        </w:rPr>
        <w:t xml:space="preserve">(注)2024年税制改正により、保管委託要件が一定程度柔軟化されました。最新要件は税理士相談のもとで確認してください。</w:t>
      </w:r>
    </w:p>
    <w:p/>
    <w:p>
      <w:pPr>
        <w:pStyle w:val="Heading3"/>
      </w:pPr>
      <w:r>
        <w:rPr>
          <w:rFonts w:hint="eastAsia"/>
        </w:rPr>
        <w:t xml:space="preserve">第10条(譲渡制限)</w:t>
      </w:r>
    </w:p>
    <w:p>
      <w:pPr>
        <w:pStyle w:val="Compact"/>
        <w:numPr>
          <w:ilvl w:val="0"/>
          <w:numId w:val="1014"/>
        </w:numPr>
      </w:pPr>
      <w:r>
        <w:rPr>
          <w:rFonts w:hint="eastAsia"/>
        </w:rPr>
        <w:t xml:space="preserve">乙は、本新株予約権の全部又は一部を、甲の事前の書面又は電磁的方法による承諾なくして、第三者に譲渡・担保提供・処分してはならない。</w:t>
      </w:r>
    </w:p>
    <w:p>
      <w:pPr>
        <w:pStyle w:val="Compact"/>
        <w:numPr>
          <w:ilvl w:val="0"/>
          <w:numId w:val="1014"/>
        </w:numPr>
      </w:pPr>
      <w:r>
        <w:rPr>
          <w:rFonts w:hint="eastAsia"/>
        </w:rPr>
        <w:t xml:space="preserve">本新株予約権を相続又は遺贈により承継した者は、本契約上の乙の地位を承継する(ただし、税制適格SOの場合の承継の取扱いは別途確認のこと)。</w:t>
      </w:r>
    </w:p>
    <w:p>
      <w:pPr>
        <w:pStyle w:val="Compact"/>
        <w:numPr>
          <w:ilvl w:val="0"/>
          <w:numId w:val="1014"/>
        </w:numPr>
      </w:pPr>
      <w:r>
        <w:rPr>
          <w:rFonts w:hint="eastAsia"/>
        </w:rPr>
        <w:t xml:space="preserve">譲渡制限に違反した場合、本新株予約権は消滅する。</w:t>
      </w:r>
    </w:p>
    <w:p/>
    <w:p>
      <w:pPr>
        <w:pStyle w:val="Heading3"/>
      </w:pPr>
      <w:r>
        <w:rPr>
          <w:rFonts w:hint="eastAsia"/>
        </w:rPr>
        <w:t xml:space="preserve">第11条(消滅事由)</w:t>
      </w:r>
    </w:p>
    <w:p>
      <w:pPr>
        <w:pStyle w:val="FirstParagraph"/>
      </w:pPr>
      <w:r>
        <w:rPr>
          <w:rFonts w:hint="eastAsia"/>
        </w:rPr>
        <w:t xml:space="preserve">以下のいずれかに該当する場合、本新株予約権は消滅する。</w:t>
      </w:r>
    </w:p>
    <w:p>
      <w:pPr>
        <w:pStyle w:val="Compact"/>
        <w:numPr>
          <w:ilvl w:val="0"/>
          <w:numId w:val="1015"/>
        </w:numPr>
      </w:pPr>
      <w:r>
        <w:rPr>
          <w:rFonts w:hint="eastAsia"/>
        </w:rPr>
        <w:t xml:space="preserve">行使期間が満了した場合(未行使分)</w:t>
      </w:r>
    </w:p>
    <w:p>
      <w:pPr>
        <w:pStyle w:val="Compact"/>
        <w:numPr>
          <w:ilvl w:val="0"/>
          <w:numId w:val="1015"/>
        </w:numPr>
      </w:pPr>
      <w:r>
        <w:rPr>
          <w:rFonts w:hint="eastAsia"/>
        </w:rPr>
        <w:t xml:space="preserve">第10条(譲渡制限)に違反した場合</w:t>
      </w:r>
    </w:p>
    <w:p>
      <w:pPr>
        <w:pStyle w:val="Compact"/>
        <w:numPr>
          <w:ilvl w:val="0"/>
          <w:numId w:val="1015"/>
        </w:numPr>
      </w:pPr>
      <w:r>
        <w:rPr>
          <w:rFonts w:hint="eastAsia"/>
        </w:rPr>
        <w:t xml:space="preserve">第12条(退職時の取扱い)に基づき消滅する場合</w:t>
      </w:r>
    </w:p>
    <w:p>
      <w:pPr>
        <w:pStyle w:val="Compact"/>
        <w:numPr>
          <w:ilvl w:val="0"/>
          <w:numId w:val="1015"/>
        </w:numPr>
      </w:pPr>
      <w:r>
        <w:rPr>
          <w:rFonts w:hint="eastAsia"/>
        </w:rPr>
        <w:t xml:space="preserve">乙が本契約その他の関連書類に重大な違反をした場合</w:t>
      </w:r>
    </w:p>
    <w:p>
      <w:pPr>
        <w:pStyle w:val="Compact"/>
        <w:numPr>
          <w:ilvl w:val="0"/>
          <w:numId w:val="1015"/>
        </w:numPr>
      </w:pPr>
      <w:r>
        <w:rPr>
          <w:rFonts w:hint="eastAsia"/>
        </w:rPr>
        <w:t xml:space="preserve">乙が反社会的勢力に該当することが判明した場合</w:t>
      </w:r>
    </w:p>
    <w:p>
      <w:pPr>
        <w:pStyle w:val="Compact"/>
        <w:numPr>
          <w:ilvl w:val="0"/>
          <w:numId w:val="1015"/>
        </w:numPr>
      </w:pPr>
      <w:r>
        <w:rPr>
          <w:rFonts w:hint="eastAsia"/>
        </w:rPr>
        <w:t xml:space="preserve">乙が死亡し、相続人が承継しない場合(設計による)</w:t>
      </w:r>
    </w:p>
    <w:p>
      <w:pPr>
        <w:pStyle w:val="Compact"/>
        <w:numPr>
          <w:ilvl w:val="0"/>
          <w:numId w:val="1015"/>
        </w:numPr>
      </w:pPr>
      <w:r>
        <w:rPr>
          <w:rFonts w:hint="eastAsia"/>
        </w:rPr>
        <w:t xml:space="preserve">その他、発行決議に定める消滅事由が発生した場合</w:t>
      </w:r>
    </w:p>
    <w:p/>
    <w:p>
      <w:pPr>
        <w:pStyle w:val="Heading3"/>
      </w:pPr>
      <w:r>
        <w:rPr>
          <w:rFonts w:hint="eastAsia"/>
        </w:rPr>
        <w:t xml:space="preserve">第12条(退職時等の取扱い)</w:t>
      </w:r>
    </w:p>
    <w:p>
      <w:pPr>
        <w:pStyle w:val="Compact"/>
        <w:numPr>
          <w:ilvl w:val="0"/>
          <w:numId w:val="1016"/>
        </w:numPr>
      </w:pPr>
      <w:r>
        <w:rPr>
          <w:rFonts w:hint="eastAsia"/>
        </w:rPr>
        <w:t xml:space="preserve">乙が以下のいずれかの事由により、甲(又は甲の子会社)の取締役・使用人等の地位を喪失した場合、本新株予約権は以下のとおり取り扱う。</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喪失事由</w:t>
            </w:r>
          </w:p>
        </w:tc>
        <w:tc>
          <w:tcPr/>
          <w:p>
            <w:pPr>
              <w:pStyle w:val="Compact"/>
            </w:pPr>
            <w:r>
              <w:rPr>
                <w:rFonts w:hint="eastAsia"/>
              </w:rPr>
              <w:t xml:space="preserve">未確定分の取扱い</w:t>
            </w:r>
          </w:p>
        </w:tc>
        <w:tc>
          <w:tcPr/>
          <w:p>
            <w:pPr>
              <w:pStyle w:val="Compact"/>
            </w:pPr>
            <w:r>
              <w:rPr>
                <w:rFonts w:hint="eastAsia"/>
              </w:rPr>
              <w:t xml:space="preserve">確定分の取扱い</w:t>
            </w:r>
          </w:p>
        </w:tc>
      </w:tr>
      <w:tr>
        <w:tc>
          <w:tcPr/>
          <w:p>
            <w:pPr>
              <w:pStyle w:val="Compact"/>
            </w:pPr>
            <w:r>
              <w:rPr>
                <w:rFonts w:hint="eastAsia"/>
              </w:rPr>
              <w:t xml:space="preserve">自己都合退職</w:t>
            </w:r>
          </w:p>
        </w:tc>
        <w:tc>
          <w:tcPr/>
          <w:p>
            <w:pPr>
              <w:pStyle w:val="Compact"/>
            </w:pPr>
            <w:r>
              <w:rPr>
                <w:rFonts w:hint="eastAsia"/>
              </w:rPr>
              <w:t xml:space="preserve">消滅</w:t>
            </w:r>
          </w:p>
        </w:tc>
        <w:tc>
          <w:tcPr/>
          <w:p>
            <w:pPr>
              <w:pStyle w:val="Compact"/>
            </w:pPr>
            <w:r>
              <w:rPr>
                <w:rFonts w:hint="eastAsia"/>
              </w:rPr>
              <w:t xml:space="preserve">退職後[3]か月以内に行使(行使期間内に限る)</w:t>
            </w:r>
          </w:p>
        </w:tc>
      </w:tr>
      <w:tr>
        <w:tc>
          <w:tcPr/>
          <w:p>
            <w:pPr>
              <w:pStyle w:val="Compact"/>
            </w:pPr>
            <w:r>
              <w:rPr>
                <w:rFonts w:hint="eastAsia"/>
              </w:rPr>
              <w:t xml:space="preserve">会社都合退職(会社の解雇・経営上の都合等)</w:t>
            </w:r>
          </w:p>
        </w:tc>
        <w:tc>
          <w:tcPr/>
          <w:p>
            <w:pPr>
              <w:pStyle w:val="Compact"/>
            </w:pPr>
            <w:r>
              <w:rPr>
                <w:rFonts w:hint="eastAsia"/>
              </w:rPr>
              <w:t xml:space="preserve">(設計による:確定とみなす場合あり)</w:t>
            </w:r>
          </w:p>
        </w:tc>
        <w:tc>
          <w:tcPr/>
          <w:p>
            <w:pPr>
              <w:pStyle w:val="Compact"/>
            </w:pPr>
            <w:r>
              <w:rPr>
                <w:rFonts w:hint="eastAsia"/>
              </w:rPr>
              <w:t xml:space="preserve">退職後[3]か月以内に行使(行使期間内に限る)</w:t>
            </w:r>
          </w:p>
        </w:tc>
      </w:tr>
      <w:tr>
        <w:tc>
          <w:tcPr/>
          <w:p>
            <w:pPr>
              <w:pStyle w:val="Compact"/>
            </w:pPr>
            <w:r>
              <w:rPr>
                <w:rFonts w:hint="eastAsia"/>
              </w:rPr>
              <w:t xml:space="preserve">死亡</w:t>
            </w:r>
          </w:p>
        </w:tc>
        <w:tc>
          <w:tcPr/>
          <w:p>
            <w:pPr>
              <w:pStyle w:val="Compact"/>
            </w:pPr>
            <w:r>
              <w:rPr>
                <w:rFonts w:hint="eastAsia"/>
              </w:rPr>
              <w:t xml:space="preserve">(設計による:確定とみなす場合あり)</w:t>
            </w:r>
          </w:p>
        </w:tc>
        <w:tc>
          <w:tcPr/>
          <w:p>
            <w:pPr>
              <w:pStyle w:val="Compact"/>
            </w:pPr>
            <w:r>
              <w:rPr>
                <w:rFonts w:hint="eastAsia"/>
              </w:rPr>
              <w:t xml:space="preserve">相続人が[1]年以内に行使(行使期間内に限る)</w:t>
            </w:r>
          </w:p>
        </w:tc>
      </w:tr>
      <w:tr>
        <w:tc>
          <w:tcPr/>
          <w:p>
            <w:pPr>
              <w:pStyle w:val="Compact"/>
            </w:pPr>
            <w:r>
              <w:rPr>
                <w:rFonts w:hint="eastAsia"/>
              </w:rPr>
              <w:t xml:space="preserve">重大な懲戒事由</w:t>
            </w:r>
          </w:p>
        </w:tc>
        <w:tc>
          <w:tcPr/>
          <w:p>
            <w:pPr>
              <w:pStyle w:val="Compact"/>
            </w:pPr>
            <w:r>
              <w:rPr>
                <w:rFonts w:hint="eastAsia"/>
              </w:rPr>
              <w:t xml:space="preserve">全て消滅</w:t>
            </w:r>
          </w:p>
        </w:tc>
        <w:tc>
          <w:tcPr/>
          <w:p>
            <w:pPr>
              <w:pStyle w:val="Compact"/>
            </w:pPr>
            <w:r>
              <w:rPr>
                <w:rFonts w:hint="eastAsia"/>
              </w:rPr>
              <w:t xml:space="preserve">全て消滅</w:t>
            </w:r>
          </w:p>
        </w:tc>
      </w:tr>
      <w:tr>
        <w:tc>
          <w:tcPr/>
          <w:p>
            <w:pPr>
              <w:pStyle w:val="Compact"/>
            </w:pPr>
            <w:r>
              <w:rPr>
                <w:rFonts w:hint="eastAsia"/>
              </w:rPr>
              <w:t xml:space="preserve">業務上の災害による退職</w:t>
            </w:r>
          </w:p>
        </w:tc>
        <w:tc>
          <w:tcPr/>
          <w:p>
            <w:pPr>
              <w:pStyle w:val="Compact"/>
            </w:pPr>
            <w:r>
              <w:rPr>
                <w:rFonts w:hint="eastAsia"/>
              </w:rPr>
              <w:t xml:space="preserve">(設計による)</w:t>
            </w:r>
          </w:p>
        </w:tc>
        <w:tc>
          <w:tcPr/>
          <w:p>
            <w:pPr>
              <w:pStyle w:val="Compact"/>
            </w:pPr>
            <w:r>
              <w:rPr>
                <w:rFonts w:hint="eastAsia"/>
              </w:rPr>
              <w:t xml:space="preserve">退職後[1]年以内に行使(行使期間内に限る)</w:t>
            </w:r>
          </w:p>
        </w:tc>
      </w:tr>
      <w:tr>
        <w:tc>
          <w:tcPr/>
          <w:p>
            <w:pPr>
              <w:pStyle w:val="Compact"/>
            </w:pPr>
            <w:r>
              <w:rPr>
                <w:rFonts w:hint="eastAsia"/>
              </w:rPr>
              <w:t xml:space="preserve">定年退職</w:t>
            </w:r>
          </w:p>
        </w:tc>
        <w:tc>
          <w:tcPr/>
          <w:p>
            <w:pPr>
              <w:pStyle w:val="Compact"/>
            </w:pPr>
            <w:r>
              <w:rPr>
                <w:rFonts w:hint="eastAsia"/>
              </w:rPr>
              <w:t xml:space="preserve">(設計による:確定とみなす場合あり)</w:t>
            </w:r>
          </w:p>
        </w:tc>
        <w:tc>
          <w:tcPr/>
          <w:p>
            <w:pPr>
              <w:pStyle w:val="Compact"/>
            </w:pPr>
            <w:r>
              <w:rPr>
                <w:rFonts w:hint="eastAsia"/>
              </w:rPr>
              <w:t xml:space="preserve">退職後[1]年以内に行使(行使期間内に限る)</w:t>
            </w:r>
          </w:p>
        </w:tc>
      </w:tr>
    </w:tbl>
    <w:p>
      <w:pPr>
        <w:pStyle w:val="Compact"/>
        <w:numPr>
          <w:ilvl w:val="0"/>
          <w:numId w:val="1017"/>
        </w:numPr>
      </w:pPr>
      <w:r>
        <w:rPr>
          <w:rFonts w:hint="eastAsia"/>
        </w:rPr>
        <w:t xml:space="preserve">退職後の行使は、税制適格ストックオプションの要件を維持できる範囲で可能とする(税制適格SOの場合)。</w:t>
      </w:r>
    </w:p>
    <w:p/>
    <w:p>
      <w:pPr>
        <w:pStyle w:val="Heading3"/>
      </w:pPr>
      <w:r>
        <w:rPr>
          <w:rFonts w:hint="eastAsia"/>
        </w:rPr>
        <w:t xml:space="preserve">第13条(競業避止・秘密保持)</w:t>
      </w:r>
    </w:p>
    <w:p>
      <w:pPr>
        <w:pStyle w:val="Compact"/>
        <w:numPr>
          <w:ilvl w:val="0"/>
          <w:numId w:val="1018"/>
        </w:numPr>
      </w:pPr>
      <w:r>
        <w:rPr>
          <w:rFonts w:hint="eastAsia"/>
        </w:rPr>
        <w:t xml:space="preserve">乙は、甲(又は甲の子会社)の取締役・使用人等の地位を喪失した後も、就任期間中に締結した競業避止契約・秘密保持契約に基づく義務を継続して負う。</w:t>
      </w:r>
    </w:p>
    <w:p>
      <w:pPr>
        <w:pStyle w:val="Compact"/>
        <w:numPr>
          <w:ilvl w:val="0"/>
          <w:numId w:val="1018"/>
        </w:numPr>
      </w:pPr>
      <w:r>
        <w:rPr>
          <w:rFonts w:hint="eastAsia"/>
        </w:rPr>
        <w:t xml:space="preserve">乙が前項の義務に違反した場合、甲は本新株予約権を消滅させることができる。</w:t>
      </w:r>
    </w:p>
    <w:p/>
    <w:p>
      <w:pPr>
        <w:pStyle w:val="Heading3"/>
      </w:pPr>
      <w:r>
        <w:rPr>
          <w:rFonts w:hint="eastAsia"/>
        </w:rPr>
        <w:t xml:space="preserve">第14条(乙の表明保証)</w:t>
      </w:r>
    </w:p>
    <w:p>
      <w:pPr>
        <w:pStyle w:val="FirstParagraph"/>
      </w:pPr>
      <w:r>
        <w:rPr>
          <w:rFonts w:hint="eastAsia"/>
        </w:rPr>
        <w:t xml:space="preserve">乙は、本契約締結に際し、以下の事項を甲に対し表明し保証する。</w:t>
      </w:r>
    </w:p>
    <w:p>
      <w:pPr>
        <w:pStyle w:val="Compact"/>
        <w:numPr>
          <w:ilvl w:val="0"/>
          <w:numId w:val="1019"/>
        </w:numPr>
      </w:pPr>
      <w:r>
        <w:rPr>
          <w:rFonts w:hint="eastAsia"/>
        </w:rPr>
        <w:t xml:space="preserve">乙は甲又は甲の子会社の取締役・執行役・使用人としての地位を有していること</w:t>
      </w:r>
    </w:p>
    <w:p>
      <w:pPr>
        <w:pStyle w:val="Compact"/>
        <w:numPr>
          <w:ilvl w:val="0"/>
          <w:numId w:val="1019"/>
        </w:numPr>
      </w:pPr>
      <w:r>
        <w:rPr>
          <w:rFonts w:hint="eastAsia"/>
        </w:rPr>
        <w:t xml:space="preserve">本契約の締結が、乙が締結している他の契約・誓約書等に違反しないこと</w:t>
      </w:r>
    </w:p>
    <w:p>
      <w:pPr>
        <w:pStyle w:val="Compact"/>
        <w:numPr>
          <w:ilvl w:val="0"/>
          <w:numId w:val="1019"/>
        </w:numPr>
      </w:pPr>
      <w:r>
        <w:rPr>
          <w:rFonts w:hint="eastAsia"/>
        </w:rPr>
        <w:t xml:space="preserve">反社会的勢力に該当しないこと、また反社会的勢力と関係を有しないこと</w:t>
      </w:r>
    </w:p>
    <w:p>
      <w:pPr>
        <w:pStyle w:val="Compact"/>
        <w:numPr>
          <w:ilvl w:val="0"/>
          <w:numId w:val="1019"/>
        </w:numPr>
      </w:pPr>
      <w:r>
        <w:rPr>
          <w:rFonts w:hint="eastAsia"/>
        </w:rPr>
        <w:t xml:space="preserve">本新株予約権の内容・税務上の取扱いについて十分理解していること</w:t>
      </w:r>
    </w:p>
    <w:p>
      <w:pPr>
        <w:pStyle w:val="Compact"/>
        <w:numPr>
          <w:ilvl w:val="0"/>
          <w:numId w:val="1019"/>
        </w:numPr>
      </w:pPr>
      <w:r>
        <w:rPr>
          <w:rFonts w:hint="eastAsia"/>
        </w:rPr>
        <w:t xml:space="preserve">税制適格要件を維持するため必要な行為を行うこと(税制適格SOの場合)</w:t>
      </w:r>
    </w:p>
    <w:p/>
    <w:p>
      <w:pPr>
        <w:pStyle w:val="Heading3"/>
      </w:pPr>
      <w:r>
        <w:rPr>
          <w:rFonts w:hint="eastAsia"/>
        </w:rPr>
        <w:t xml:space="preserve">第15条(反社会的勢力の排除)</w:t>
      </w:r>
    </w:p>
    <w:p>
      <w:pPr>
        <w:pStyle w:val="Compact"/>
        <w:numPr>
          <w:ilvl w:val="0"/>
          <w:numId w:val="1020"/>
        </w:numPr>
      </w:pPr>
      <w:r>
        <w:rPr>
          <w:rFonts w:hint="eastAsia"/>
        </w:rPr>
        <w:t xml:space="preserve">甲及び乙は、自己又は自己の関係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また反社会的勢力と社会的に非難されるべき関係を有しないことを表明し、確約する。</w:t>
      </w:r>
    </w:p>
    <w:p>
      <w:pPr>
        <w:pStyle w:val="Compact"/>
        <w:numPr>
          <w:ilvl w:val="0"/>
          <w:numId w:val="1020"/>
        </w:numPr>
      </w:pPr>
      <w:r>
        <w:rPr>
          <w:rFonts w:hint="eastAsia"/>
        </w:rPr>
        <w:t xml:space="preserve">甲又は乙は、相手方が前項に違反した場合、何らの催告を要せず、直ちに本契約を解除することができ、本新株予約権は消滅する。</w:t>
      </w:r>
    </w:p>
    <w:p/>
    <w:p>
      <w:pPr>
        <w:pStyle w:val="Heading3"/>
      </w:pPr>
      <w:r>
        <w:rPr>
          <w:rFonts w:hint="eastAsia"/>
        </w:rPr>
        <w:t xml:space="preserve">第16条(本契約の解除)</w:t>
      </w:r>
    </w:p>
    <w:p>
      <w:pPr>
        <w:pStyle w:val="Compact"/>
        <w:numPr>
          <w:ilvl w:val="0"/>
          <w:numId w:val="1021"/>
        </w:numPr>
      </w:pPr>
      <w:r>
        <w:rPr>
          <w:rFonts w:hint="eastAsia"/>
        </w:rPr>
        <w:t xml:space="preserve">甲は、以下のいずれかに該当する場合、本契約を解除することができる。</w:t>
      </w:r>
    </w:p>
    <w:p>
      <w:pPr>
        <w:pStyle w:val="Compact"/>
        <w:numPr>
          <w:ilvl w:val="1"/>
          <w:numId w:val="1022"/>
        </w:numPr>
      </w:pPr>
      <w:r>
        <w:rPr>
          <w:rFonts w:hint="eastAsia"/>
        </w:rPr>
        <w:t xml:space="preserve">乙が第10条(譲渡制限)に違反した場合</w:t>
      </w:r>
    </w:p>
    <w:p>
      <w:pPr>
        <w:pStyle w:val="Compact"/>
        <w:numPr>
          <w:ilvl w:val="1"/>
          <w:numId w:val="1022"/>
        </w:numPr>
      </w:pPr>
      <w:r>
        <w:rPr>
          <w:rFonts w:hint="eastAsia"/>
        </w:rPr>
        <w:t xml:space="preserve">乙が第14条(表明保証)に違反した場合</w:t>
      </w:r>
    </w:p>
    <w:p>
      <w:pPr>
        <w:pStyle w:val="Compact"/>
        <w:numPr>
          <w:ilvl w:val="1"/>
          <w:numId w:val="1022"/>
        </w:numPr>
      </w:pPr>
      <w:r>
        <w:rPr>
          <w:rFonts w:hint="eastAsia"/>
        </w:rPr>
        <w:t xml:space="preserve">乙が第15条(反社会的勢力の排除)に違反した場合</w:t>
      </w:r>
    </w:p>
    <w:p>
      <w:pPr>
        <w:pStyle w:val="Compact"/>
        <w:numPr>
          <w:ilvl w:val="1"/>
          <w:numId w:val="1022"/>
        </w:numPr>
      </w:pPr>
      <w:r>
        <w:rPr>
          <w:rFonts w:hint="eastAsia"/>
        </w:rPr>
        <w:t xml:space="preserve">乙が本契約その他の関連書類に重大な違反をした場合</w:t>
      </w:r>
    </w:p>
    <w:p>
      <w:pPr>
        <w:pStyle w:val="Compact"/>
        <w:numPr>
          <w:ilvl w:val="0"/>
          <w:numId w:val="1021"/>
        </w:numPr>
      </w:pPr>
      <w:r>
        <w:rPr>
          <w:rFonts w:hint="eastAsia"/>
        </w:rPr>
        <w:t xml:space="preserve">本契約が解除された場合、本新株予約権は消滅する。</w:t>
      </w:r>
    </w:p>
    <w:p/>
    <w:p>
      <w:pPr>
        <w:pStyle w:val="Heading3"/>
      </w:pPr>
      <w:r>
        <w:rPr>
          <w:rFonts w:hint="eastAsia"/>
        </w:rPr>
        <w:t xml:space="preserve">第17条(通知方法)</w:t>
      </w:r>
    </w:p>
    <w:p>
      <w:pPr>
        <w:pStyle w:val="FirstParagraph"/>
      </w:pPr>
      <w:r>
        <w:rPr>
          <w:rFonts w:hint="eastAsia"/>
        </w:rPr>
        <w:t xml:space="preserve">甲及び乙が本契約に基づき相手方に通知を行う場合、以下のいずれかの方法による。</w:t>
      </w:r>
    </w:p>
    <w:p>
      <w:pPr>
        <w:pStyle w:val="Compact"/>
        <w:numPr>
          <w:ilvl w:val="0"/>
          <w:numId w:val="1023"/>
        </w:numPr>
      </w:pPr>
      <w:r>
        <w:rPr>
          <w:rFonts w:hint="eastAsia"/>
        </w:rPr>
        <w:t xml:space="preserve">書面(郵送・配達証明・内容証明等)</w:t>
      </w:r>
    </w:p>
    <w:p>
      <w:pPr>
        <w:pStyle w:val="Compact"/>
        <w:numPr>
          <w:ilvl w:val="0"/>
          <w:numId w:val="1023"/>
        </w:numPr>
      </w:pPr>
      <w:r>
        <w:rPr>
          <w:rFonts w:hint="eastAsia"/>
        </w:rPr>
        <w:t xml:space="preserve">電子メール(双方が事前に通知用メールアドレスを合意した場合)</w:t>
      </w:r>
    </w:p>
    <w:p>
      <w:pPr>
        <w:pStyle w:val="Compact"/>
        <w:numPr>
          <w:ilvl w:val="0"/>
          <w:numId w:val="1023"/>
        </w:numPr>
      </w:pPr>
      <w:r>
        <w:rPr>
          <w:rFonts w:hint="eastAsia"/>
        </w:rPr>
        <w:t xml:space="preserve">その他、双方が合意した方法</w:t>
      </w:r>
    </w:p>
    <w:p/>
    <w:p>
      <w:pPr>
        <w:pStyle w:val="Heading3"/>
      </w:pPr>
      <w:r>
        <w:rPr>
          <w:rFonts w:hint="eastAsia"/>
        </w:rPr>
        <w:t xml:space="preserve">第18条(権利義務の譲渡禁止)</w:t>
      </w:r>
    </w:p>
    <w:p>
      <w:pPr>
        <w:pStyle w:val="FirstParagraph"/>
      </w:pPr>
      <w:r>
        <w:rPr>
          <w:rFonts w:hint="eastAsia"/>
        </w:rPr>
        <w:t xml:space="preserve">乙は、甲の事前の書面又は電磁的方法による承諾なく、本契約上の地位又は本契約に基づく権利義務の全部又は一部を、第三者に譲渡し、承継させ、又は担保に供してはならない。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第19条(完全合意)</w:t>
      </w:r>
    </w:p>
    <w:p>
      <w:pPr>
        <w:pStyle w:val="FirstParagraph"/>
      </w:pPr>
      <w:r>
        <w:rPr>
          <w:rFonts w:hint="eastAsia"/>
        </w:rPr>
        <w:t xml:space="preserve">本契約は、本新株予約権の割当に関する甲乙間の完全な合意を構成し、本契約締結前の甲乙間の口頭又は書面によるすべての合意・了解・表明等に優先する。</w:t>
      </w:r>
    </w:p>
    <w:p/>
    <w:p>
      <w:pPr>
        <w:pStyle w:val="Heading3"/>
      </w:pPr>
      <w:r>
        <w:rPr>
          <w:rFonts w:hint="eastAsia"/>
        </w:rPr>
        <w:t xml:space="preserve">第20条(合意管轄)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第21条(協議事項)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発行会社</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割当対象者</w:t>
      </w:r>
      <w:r>
        <w:t xml:space="preserve"> </w:t>
      </w:r>
      <w:r>
        <w:rPr>
          <w:rFonts w:hint="eastAsia"/>
        </w:rPr>
        <w:t xml:space="preserve">住所:[乙の住所]</w:t>
      </w:r>
      <w:r>
        <w:t xml:space="preserve"> </w:t>
      </w:r>
      <w:r>
        <w:rPr>
          <w:rFonts w:hint="eastAsia"/>
        </w:rPr>
        <w:t xml:space="preserve">氏名:[乙の氏名]</w:t>
      </w:r>
      <w:r>
        <w:t xml:space="preserve"> </w:t>
      </w:r>
      <w:r>
        <w:rPr>
          <w:rFonts w:hint="eastAsia"/>
        </w:rPr>
        <w:t xml:space="preserve">印</w:t>
      </w:r>
      <w:r>
        <w:t xml:space="preserve"> </w:t>
      </w:r>
      <w:r>
        <w:rPr>
          <w:rFonts w:hint="eastAsia"/>
        </w:rPr>
        <w:t xml:space="preserve">生年月日:[YYYY年MM月DD日]</w:t>
      </w:r>
      <w:r>
        <w:t xml:space="preserve"> </w:t>
      </w:r>
      <w:r>
        <w:rPr>
          <w:rFonts w:hint="eastAsia"/>
        </w:rPr>
        <w:t xml:space="preserve">甲との関係:☐</w:t>
      </w:r>
      <w:r>
        <w:t xml:space="preserve"> </w:t>
      </w:r>
      <w:r>
        <w:rPr>
          <w:rFonts w:hint="eastAsia"/>
        </w:rPr>
        <w:t xml:space="preserve">取締役</w:t>
      </w:r>
      <w:r>
        <w:t xml:space="preserve"> / ☐ </w:t>
      </w:r>
      <w:r>
        <w:rPr>
          <w:rFonts w:hint="eastAsia"/>
        </w:rPr>
        <w:t xml:space="preserve">執行役</w:t>
      </w:r>
      <w:r>
        <w:t xml:space="preserve"> / ☐ </w:t>
      </w:r>
      <w:r>
        <w:rPr>
          <w:rFonts w:hint="eastAsia"/>
        </w:rPr>
        <w:t xml:space="preserve">使用人(従業員)</w:t>
      </w:r>
      <w:r>
        <w:t xml:space="preserve"> / ☐ </w:t>
      </w:r>
      <w:r>
        <w:rPr>
          <w:rFonts w:hint="eastAsia"/>
        </w:rPr>
        <w:t xml:space="preserve">その他([詳細])</w:t>
      </w:r>
      <w:r>
        <w:t xml:space="preserve"> </w:t>
      </w:r>
      <w:r>
        <w:rPr>
          <w:rFonts w:hint="eastAsia"/>
        </w:rPr>
        <w:t xml:space="preserve">所属(使用人の場合):[部署名・役職]</w:t>
      </w:r>
    </w:p>
    <w:p/>
    <w:p>
      <w:pPr>
        <w:pStyle w:val="Heading2"/>
      </w:pPr>
      <w:r>
        <w:rPr>
          <w:rFonts w:hint="eastAsia"/>
        </w:rPr>
        <w:t xml:space="preserve">別紙1:発行決議の特定(参考)</w:t>
      </w:r>
    </w:p>
    <w:p>
      <w:pPr>
        <w:pStyle w:val="FirstParagraph"/>
      </w:pPr>
      <w:r>
        <w:rPr>
          <w:rFonts w:hint="eastAsia"/>
        </w:rPr>
        <w:t xml:space="preserve">本新株予約権の発行決議の詳細。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発行決議の種類</w:t>
            </w:r>
          </w:p>
        </w:tc>
        <w:tc>
          <w:tcPr/>
          <w:p>
            <w:pPr>
              <w:pStyle w:val="Compact"/>
            </w:pPr>
            <w:r>
              <w:t xml:space="preserve">☐ </w:t>
            </w:r>
            <w:r>
              <w:rPr>
                <w:rFonts w:hint="eastAsia"/>
              </w:rPr>
              <w:t xml:space="preserve">株主総会の特別決議</w:t>
            </w:r>
            <w:r>
              <w:t xml:space="preserve"> / ☐ </w:t>
            </w:r>
            <w:r>
              <w:rPr>
                <w:rFonts w:hint="eastAsia"/>
              </w:rPr>
              <w:t xml:space="preserve">取締役会決議</w:t>
            </w:r>
            <w:r>
              <w:t xml:space="preserve"> / ☐ </w:t>
            </w:r>
            <w:r>
              <w:rPr>
                <w:rFonts w:hint="eastAsia"/>
              </w:rPr>
              <w:t xml:space="preserve">その他</w:t>
            </w:r>
          </w:p>
        </w:tc>
      </w:tr>
      <w:tr>
        <w:tc>
          <w:tcPr/>
          <w:p>
            <w:pPr>
              <w:pStyle w:val="Compact"/>
            </w:pPr>
            <w:r>
              <w:rPr>
                <w:rFonts w:hint="eastAsia"/>
              </w:rPr>
              <w:t xml:space="preserve">発行決議日</w:t>
            </w:r>
          </w:p>
        </w:tc>
        <w:tc>
          <w:tcPr/>
          <w:p>
            <w:pPr>
              <w:pStyle w:val="Compact"/>
            </w:pPr>
            <w:r>
              <w:rPr>
                <w:rFonts w:hint="eastAsia"/>
              </w:rPr>
              <w:t xml:space="preserve">[YYYY年MM月DD日]</w:t>
            </w:r>
          </w:p>
        </w:tc>
      </w:tr>
      <w:tr>
        <w:tc>
          <w:tcPr/>
          <w:p>
            <w:pPr>
              <w:pStyle w:val="Compact"/>
            </w:pPr>
            <w:r>
              <w:rPr>
                <w:rFonts w:hint="eastAsia"/>
              </w:rPr>
              <w:t xml:space="preserve">議事録の番号</w:t>
            </w:r>
          </w:p>
        </w:tc>
        <w:tc>
          <w:tcPr/>
          <w:p>
            <w:pPr>
              <w:pStyle w:val="Compact"/>
            </w:pPr>
            <w:r>
              <w:rPr>
                <w:rFonts w:hint="eastAsia"/>
              </w:rPr>
              <w:t xml:space="preserve">[議事録番号]</w:t>
            </w:r>
          </w:p>
        </w:tc>
      </w:tr>
      <w:tr>
        <w:tc>
          <w:tcPr/>
          <w:p>
            <w:pPr>
              <w:pStyle w:val="Compact"/>
            </w:pPr>
            <w:r>
              <w:rPr>
                <w:rFonts w:hint="eastAsia"/>
              </w:rPr>
              <w:t xml:space="preserve">募集事項の決定者</w:t>
            </w:r>
          </w:p>
        </w:tc>
        <w:tc>
          <w:tcPr/>
          <w:p>
            <w:pPr>
              <w:pStyle w:val="Compact"/>
            </w:pPr>
            <w:r>
              <w:rPr>
                <w:rFonts w:hint="eastAsia"/>
              </w:rPr>
              <w:t xml:space="preserve">[氏名又は会議体]</w:t>
            </w:r>
          </w:p>
        </w:tc>
      </w:tr>
      <w:tr>
        <w:tc>
          <w:tcPr/>
          <w:p>
            <w:pPr>
              <w:pStyle w:val="Compact"/>
            </w:pPr>
            <w:r>
              <w:rPr>
                <w:rFonts w:hint="eastAsia"/>
              </w:rPr>
              <w:t xml:space="preserve">公開会社該当</w:t>
            </w:r>
          </w:p>
        </w:tc>
        <w:tc>
          <w:tcPr/>
          <w:p>
            <w:pPr>
              <w:pStyle w:val="Compact"/>
            </w:pPr>
            <w:r>
              <w:t xml:space="preserve">☐ </w:t>
            </w:r>
            <w:r>
              <w:rPr>
                <w:rFonts w:hint="eastAsia"/>
              </w:rPr>
              <w:t xml:space="preserve">公開会社</w:t>
            </w:r>
            <w:r>
              <w:t xml:space="preserve"> / ☐ </w:t>
            </w:r>
            <w:r>
              <w:rPr>
                <w:rFonts w:hint="eastAsia"/>
              </w:rPr>
              <w:t xml:space="preserve">非公開会社</w:t>
            </w:r>
          </w:p>
        </w:tc>
      </w:tr>
      <w:tr>
        <w:tc>
          <w:tcPr/>
          <w:p>
            <w:pPr>
              <w:pStyle w:val="Compact"/>
            </w:pPr>
            <w:r>
              <w:rPr>
                <w:rFonts w:hint="eastAsia"/>
              </w:rPr>
              <w:t xml:space="preserve">募集事項の決定方式</w:t>
            </w:r>
          </w:p>
        </w:tc>
        <w:tc>
          <w:tcPr/>
          <w:p>
            <w:pPr>
              <w:pStyle w:val="Compact"/>
            </w:pPr>
            <w:r>
              <w:t xml:space="preserve">☐ </w:t>
            </w:r>
            <w:r>
              <w:rPr>
                <w:rFonts w:hint="eastAsia"/>
              </w:rPr>
              <w:t xml:space="preserve">取締役会への委任あり</w:t>
            </w:r>
            <w:r>
              <w:t xml:space="preserve"> / ☐ </w:t>
            </w:r>
            <w:r>
              <w:rPr>
                <w:rFonts w:hint="eastAsia"/>
              </w:rPr>
              <w:t xml:space="preserve">委任なし</w:t>
            </w:r>
          </w:p>
        </w:tc>
      </w:tr>
      <w:tr>
        <w:tc>
          <w:tcPr/>
          <w:p>
            <w:pPr>
              <w:pStyle w:val="Compact"/>
            </w:pPr>
            <w:r>
              <w:rPr>
                <w:rFonts w:hint="eastAsia"/>
              </w:rPr>
              <w:t xml:space="preserve">株主総会承認の要否</w:t>
            </w:r>
          </w:p>
        </w:tc>
        <w:tc>
          <w:tcPr/>
          <w:p>
            <w:pPr>
              <w:pStyle w:val="Compact"/>
            </w:pPr>
            <w:r>
              <w:t xml:space="preserve">☐ </w:t>
            </w:r>
            <w:r>
              <w:rPr>
                <w:rFonts w:hint="eastAsia"/>
              </w:rPr>
              <w:t xml:space="preserve">必要(特に有利な条件等の場合)</w:t>
            </w:r>
            <w:r>
              <w:t xml:space="preserve"> / ☐ </w:t>
            </w:r>
            <w:r>
              <w:rPr>
                <w:rFonts w:hint="eastAsia"/>
              </w:rPr>
              <w:t xml:space="preserve">不要</w:t>
            </w:r>
          </w:p>
        </w:tc>
      </w:tr>
      <w:tr>
        <w:tc>
          <w:tcPr/>
          <w:p>
            <w:pPr>
              <w:pStyle w:val="Compact"/>
            </w:pPr>
            <w:r>
              <w:rPr>
                <w:rFonts w:hint="eastAsia"/>
              </w:rPr>
              <w:t xml:space="preserve">登記の状況</w:t>
            </w:r>
          </w:p>
        </w:tc>
        <w:tc>
          <w:tcPr/>
          <w:p>
            <w:pPr>
              <w:pStyle w:val="Compact"/>
            </w:pPr>
            <w:r>
              <w:t xml:space="preserve">☐ </w:t>
            </w:r>
            <w:r>
              <w:rPr>
                <w:rFonts w:hint="eastAsia"/>
              </w:rPr>
              <w:t xml:space="preserve">申請済み([日付])</w:t>
            </w:r>
            <w:r>
              <w:t xml:space="preserve"> / ☐ </w:t>
            </w:r>
            <w:r>
              <w:rPr>
                <w:rFonts w:hint="eastAsia"/>
              </w:rPr>
              <w:t xml:space="preserve">未申請(2週間以内に必要)</w:t>
            </w:r>
          </w:p>
        </w:tc>
      </w:tr>
    </w:tbl>
    <w:p>
      <w:pPr>
        <w:pStyle w:val="BodyText"/>
      </w:pPr>
      <w:r>
        <w:rPr>
          <w:rFonts w:hint="eastAsia"/>
        </w:rPr>
        <w:t xml:space="preserve">(注)新株予約権発行後、</w:t>
      </w:r>
      <w:r>
        <w:rPr>
          <w:rFonts w:hint="eastAsia"/>
          <w:b/>
          <w:bCs/>
        </w:rPr>
        <w:t xml:space="preserve">2週間以内に変更登記の申請</w:t>
      </w:r>
      <w:r>
        <w:rPr>
          <w:rFonts w:hint="eastAsia"/>
        </w:rPr>
        <w:t xml:space="preserve">が必要です(会社法第915条)。司法書士への依頼が標準的です。</w:t>
      </w:r>
    </w:p>
    <w:p/>
    <w:p>
      <w:pPr>
        <w:pStyle w:val="Heading2"/>
      </w:pPr>
      <w:r>
        <w:rPr>
          <w:rFonts w:hint="eastAsia"/>
        </w:rPr>
        <w:t xml:space="preserve">別紙2:ベスティングスケジュール詳細(参考)</w:t>
      </w:r>
    </w:p>
    <w:p>
      <w:pPr>
        <w:pStyle w:val="FirstParagraph"/>
      </w:pPr>
      <w:r>
        <w:rPr>
          <w:rFonts w:hint="eastAsia"/>
        </w:rPr>
        <w:t xml:space="preserve">本新株予約権のベスティング(権利確定)スケジュールの詳細。</w:t>
      </w:r>
    </w:p>
    <w:p/>
    <w:p>
      <w:pPr>
        <w:pStyle w:val="Heading3"/>
      </w:pPr>
      <w:r>
        <w:t xml:space="preserve">1. </w:t>
      </w:r>
      <w:r>
        <w:rPr>
          <w:rFonts w:hint="eastAsia"/>
        </w:rPr>
        <w:t xml:space="preserve">ベスティングの選択</w:t>
      </w:r>
    </w:p>
    <w:p>
      <w:pPr>
        <w:pStyle w:val="FirstParagraph"/>
      </w:pPr>
      <w:r>
        <w:t xml:space="preserve">☐</w:t>
      </w:r>
      <w:r>
        <w:t xml:space="preserve"> </w:t>
      </w:r>
      <w:r>
        <w:rPr>
          <w:rFonts w:hint="eastAsia"/>
          <w:b/>
          <w:bCs/>
        </w:rPr>
        <w:t xml:space="preserve">米国スタートアップ標準(4年ベスティング+1年クリフ)</w:t>
      </w:r>
      <w:r>
        <w:t xml:space="preserve"> </w:t>
      </w:r>
      <w:r>
        <w:t xml:space="preserve">☐</w:t>
      </w:r>
      <w:r>
        <w:t xml:space="preserve"> </w:t>
      </w:r>
      <w:r>
        <w:rPr>
          <w:rFonts w:hint="eastAsia"/>
          <w:b/>
          <w:bCs/>
        </w:rPr>
        <w:t xml:space="preserve">日本スタートアップ標準(2年ベスティング)</w:t>
      </w:r>
      <w:r>
        <w:t xml:space="preserve"> </w:t>
      </w:r>
      <w:r>
        <w:t xml:space="preserve">☐</w:t>
      </w:r>
      <w:r>
        <w:t xml:space="preserve"> </w:t>
      </w:r>
      <w:r>
        <w:rPr>
          <w:rFonts w:hint="eastAsia"/>
          <w:b/>
          <w:bCs/>
        </w:rPr>
        <w:t xml:space="preserve">パフォーマンス連動型</w:t>
      </w:r>
      <w:r>
        <w:t xml:space="preserve"> </w:t>
      </w:r>
      <w:r>
        <w:t xml:space="preserve">☐</w:t>
      </w:r>
      <w:r>
        <w:t xml:space="preserve"> </w:t>
      </w:r>
      <w:r>
        <w:rPr>
          <w:rFonts w:hint="eastAsia"/>
          <w:b/>
          <w:bCs/>
        </w:rPr>
        <w:t xml:space="preserve">カスタム([詳細])</w:t>
      </w:r>
    </w:p>
    <w:p/>
    <w:p>
      <w:pPr>
        <w:pStyle w:val="Heading3"/>
      </w:pPr>
      <w:r>
        <w:t xml:space="preserve">2. </w:t>
      </w:r>
      <w:r>
        <w:rPr>
          <w:rFonts w:hint="eastAsia"/>
        </w:rPr>
        <w:t xml:space="preserve">ベスティング起算日</w:t>
      </w:r>
    </w:p>
    <w:p>
      <w:pPr>
        <w:pStyle w:val="FirstParagraph"/>
      </w:pPr>
      <w:r>
        <w:rPr>
          <w:rFonts w:hint="eastAsia"/>
        </w:rPr>
        <w:t xml:space="preserve">[YYYY年MM月DD日]</w:t>
      </w:r>
    </w:p>
    <w:p/>
    <w:p>
      <w:pPr>
        <w:pStyle w:val="Heading3"/>
      </w:pPr>
      <w:r>
        <w:t xml:space="preserve">3. </w:t>
      </w:r>
      <w:r>
        <w:rPr>
          <w:rFonts w:hint="eastAsia"/>
        </w:rPr>
        <w:t xml:space="preserve">ベスティング詳細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経過期間</w:t>
            </w:r>
          </w:p>
        </w:tc>
        <w:tc>
          <w:tcPr/>
          <w:p>
            <w:pPr>
              <w:pStyle w:val="Compact"/>
            </w:pPr>
            <w:r>
              <w:rPr>
                <w:rFonts w:hint="eastAsia"/>
              </w:rPr>
              <w:t xml:space="preserve">確定割合(累計)</w:t>
            </w:r>
          </w:p>
        </w:tc>
        <w:tc>
          <w:tcPr/>
          <w:p>
            <w:pPr>
              <w:pStyle w:val="Compact"/>
            </w:pPr>
            <w:r>
              <w:rPr>
                <w:rFonts w:hint="eastAsia"/>
              </w:rPr>
              <w:t xml:space="preserve">確定する個数</w:t>
            </w:r>
          </w:p>
        </w:tc>
        <w:tc>
          <w:tcPr/>
          <w:p>
            <w:pPr>
              <w:pStyle w:val="Compact"/>
            </w:pPr>
            <w:r>
              <w:rPr>
                <w:rFonts w:hint="eastAsia"/>
              </w:rPr>
              <w:t xml:space="preserve">確定する株式数</w:t>
            </w:r>
          </w:p>
        </w:tc>
      </w:tr>
      <w:tr>
        <w:tc>
          <w:tcPr/>
          <w:p>
            <w:pPr>
              <w:pStyle w:val="Compact"/>
            </w:pPr>
            <w:r>
              <w:rPr>
                <w:rFonts w:hint="eastAsia"/>
              </w:rPr>
              <w:t xml:space="preserve">[○]か月</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[○]株</w:t>
            </w:r>
          </w:p>
        </w:tc>
      </w:tr>
      <w:tr>
        <w:tc>
          <w:tcPr/>
          <w:p>
            <w:pPr>
              <w:pStyle w:val="Compact"/>
            </w:pPr>
            <w:r>
              <w:rPr>
                <w:rFonts w:hint="eastAsia"/>
              </w:rPr>
              <w:t xml:space="preserve">[○]か月</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[○]株</w:t>
            </w:r>
          </w:p>
        </w:tc>
      </w:tr>
      <w:tr>
        <w:tc>
          <w:tcPr/>
          <w:p>
            <w:pPr>
              <w:pStyle w:val="Compact"/>
            </w:pPr>
            <w:r>
              <w:rPr>
                <w:rFonts w:hint="eastAsia"/>
              </w:rPr>
              <w:t xml:space="preserve">[○]か月</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[○]株</w:t>
            </w:r>
          </w:p>
        </w:tc>
      </w:tr>
      <w:tr>
        <w:tc>
          <w:tcPr/>
          <w:p>
            <w:pPr>
              <w:pStyle w:val="Compact"/>
            </w:pPr>
            <w:r>
              <w:rPr>
                <w:rFonts w:hint="eastAsia"/>
                <w:b/>
                <w:bCs/>
              </w:rPr>
              <w:t xml:space="preserve">[○]か月</w:t>
            </w:r>
          </w:p>
        </w:tc>
        <w:tc>
          <w:tcPr/>
          <w:p>
            <w:pPr>
              <w:pStyle w:val="Compact"/>
            </w:pPr>
            <w:r>
              <w:rPr>
                <w:b/>
                <w:bCs/>
              </w:rPr>
              <w:t xml:space="preserve">100%</w:t>
            </w:r>
          </w:p>
        </w:tc>
        <w:tc>
          <w:tcPr/>
          <w:p>
            <w:pPr>
              <w:pStyle w:val="Compact"/>
            </w:pPr>
            <w:r>
              <w:rPr>
                <w:rFonts w:hint="eastAsia"/>
                <w:b/>
                <w:bCs/>
              </w:rPr>
              <w:t xml:space="preserve">[○]個</w:t>
            </w:r>
          </w:p>
        </w:tc>
        <w:tc>
          <w:tcPr/>
          <w:p>
            <w:pPr>
              <w:pStyle w:val="Compact"/>
            </w:pPr>
            <w:r>
              <w:rPr>
                <w:rFonts w:hint="eastAsia"/>
                <w:b/>
                <w:bCs/>
              </w:rPr>
              <w:t xml:space="preserve">[○]株</w:t>
            </w:r>
          </w:p>
        </w:tc>
      </w:tr>
    </w:tbl>
    <w:p/>
    <w:p>
      <w:pPr>
        <w:pStyle w:val="Heading3"/>
      </w:pPr>
      <w:r>
        <w:t xml:space="preserve">4. </w:t>
      </w:r>
      <w:r>
        <w:rPr>
          <w:rFonts w:hint="eastAsia"/>
        </w:rPr>
        <w:t xml:space="preserve">ベスティングの加速事由</w:t>
      </w:r>
    </w:p>
    <w:p>
      <w:pPr>
        <w:pStyle w:val="FirstParagraph"/>
      </w:pPr>
      <w:r>
        <w:rPr>
          <w:rFonts w:hint="eastAsia"/>
        </w:rPr>
        <w:t xml:space="preserve">以下のいずれかに該当する場合、ベスティングが加速する(設計による)。</w:t>
      </w:r>
    </w:p>
    <w:p>
      <w:pPr>
        <w:pStyle w:val="Compact"/>
        <w:numPr>
          <w:ilvl w:val="0"/>
          <w:numId w:val="1024"/>
        </w:numPr>
      </w:pPr>
      <w:r>
        <w:rPr>
          <w:rFonts w:hint="eastAsia"/>
        </w:rPr>
        <w:t xml:space="preserve">会社のIPO(新規上場)</w:t>
      </w:r>
    </w:p>
    <w:p>
      <w:pPr>
        <w:pStyle w:val="Compact"/>
        <w:numPr>
          <w:ilvl w:val="0"/>
          <w:numId w:val="1025"/>
        </w:numPr>
      </w:pPr>
      <w:r>
        <w:rPr>
          <w:rFonts w:hint="eastAsia"/>
        </w:rPr>
        <w:t xml:space="preserve">会社のEXIT(M&amp;A・売却)</w:t>
      </w:r>
    </w:p>
    <w:p>
      <w:pPr>
        <w:pStyle w:val="Compact"/>
        <w:numPr>
          <w:ilvl w:val="0"/>
          <w:numId w:val="1026"/>
        </w:numPr>
      </w:pPr>
      <w:r>
        <w:rPr>
          <w:rFonts w:hint="eastAsia"/>
        </w:rPr>
        <w:t xml:space="preserve">会社による解雇(会社都合)</w:t>
      </w:r>
    </w:p>
    <w:p>
      <w:pPr>
        <w:pStyle w:val="Compact"/>
        <w:numPr>
          <w:ilvl w:val="0"/>
          <w:numId w:val="1027"/>
        </w:numPr>
      </w:pPr>
      <w:r>
        <w:rPr>
          <w:rFonts w:hint="eastAsia"/>
        </w:rPr>
        <w:t xml:space="preserve">死亡・業務上の災害</w:t>
      </w:r>
    </w:p>
    <w:p>
      <w:pPr>
        <w:pStyle w:val="Compact"/>
        <w:numPr>
          <w:ilvl w:val="0"/>
          <w:numId w:val="1028"/>
        </w:numPr>
      </w:pPr>
      <w:r>
        <w:rPr>
          <w:rFonts w:hint="eastAsia"/>
        </w:rPr>
        <w:t xml:space="preserve">その他([詳細])</w:t>
      </w:r>
    </w:p>
    <w:p/>
    <w:p>
      <w:pPr>
        <w:pStyle w:val="Heading2"/>
      </w:pPr>
      <w:r>
        <w:rPr>
          <w:rFonts w:hint="eastAsia"/>
        </w:rPr>
        <w:t xml:space="preserve">別紙3:税制適格要件チェックリスト(参考)</w:t>
      </w:r>
    </w:p>
    <w:p>
      <w:pPr>
        <w:pStyle w:val="FirstParagraph"/>
      </w:pPr>
      <w:r>
        <w:rPr>
          <w:rFonts w:hint="eastAsia"/>
        </w:rPr>
        <w:t xml:space="preserve">税制適格ストックオプション(租税特別措置法第29条の2)の要件チェックリスト。</w:t>
      </w:r>
    </w:p>
    <w:p/>
    <w:p>
      <w:pPr>
        <w:pStyle w:val="Heading3"/>
      </w:pPr>
      <w:r>
        <w:t xml:space="preserve">1. </w:t>
      </w:r>
      <w:r>
        <w:rPr>
          <w:rFonts w:hint="eastAsia"/>
        </w:rPr>
        <w:t xml:space="preserve">付与対象者要件</w:t>
      </w:r>
    </w:p>
    <w:p>
      <w:pPr>
        <w:pStyle w:val="Compact"/>
        <w:numPr>
          <w:ilvl w:val="0"/>
          <w:numId w:val="1029"/>
        </w:numPr>
      </w:pPr>
      <w:r>
        <w:rPr>
          <w:rFonts w:hint="eastAsia"/>
        </w:rPr>
        <w:t xml:space="preserve">付与対象者は甲又は甲の子会社の取締役・執行役・使用人</w:t>
      </w:r>
    </w:p>
    <w:p>
      <w:pPr>
        <w:pStyle w:val="Compact"/>
        <w:numPr>
          <w:ilvl w:val="0"/>
          <w:numId w:val="1030"/>
        </w:numPr>
      </w:pPr>
      <w:r>
        <w:rPr>
          <w:rFonts w:hint="eastAsia"/>
        </w:rPr>
        <w:t xml:space="preserve">大口株主(発行済株式の1/3超を保有する者)ではない</w:t>
      </w:r>
    </w:p>
    <w:p>
      <w:pPr>
        <w:pStyle w:val="Compact"/>
        <w:numPr>
          <w:ilvl w:val="0"/>
          <w:numId w:val="1031"/>
        </w:numPr>
      </w:pPr>
      <w:r>
        <w:rPr>
          <w:rFonts w:hint="eastAsia"/>
        </w:rPr>
        <w:t xml:space="preserve">監査役・社外取締役・特別利害関係人ではない</w:t>
      </w:r>
    </w:p>
    <w:p/>
    <w:p>
      <w:pPr>
        <w:pStyle w:val="Heading3"/>
      </w:pPr>
      <w:r>
        <w:t xml:space="preserve">2. </w:t>
      </w:r>
      <w:r>
        <w:rPr>
          <w:rFonts w:hint="eastAsia"/>
        </w:rPr>
        <w:t xml:space="preserve">行使価格要件</w:t>
      </w:r>
    </w:p>
    <w:p>
      <w:pPr>
        <w:pStyle w:val="Compact"/>
        <w:numPr>
          <w:ilvl w:val="0"/>
          <w:numId w:val="1032"/>
        </w:numPr>
      </w:pPr>
      <w:r>
        <w:rPr>
          <w:rFonts w:hint="eastAsia"/>
        </w:rPr>
        <w:t xml:space="preserve">行使価格は付与時の株価以上</w:t>
      </w:r>
    </w:p>
    <w:p>
      <w:pPr>
        <w:pStyle w:val="Compact"/>
        <w:numPr>
          <w:ilvl w:val="0"/>
          <w:numId w:val="1033"/>
        </w:numPr>
      </w:pPr>
      <w:r>
        <w:rPr>
          <w:rFonts w:hint="eastAsia"/>
        </w:rPr>
        <w:t xml:space="preserve">未上場株式の場合、適切な株価算定(DCF法・類似会社比較法等)を実施</w:t>
      </w:r>
    </w:p>
    <w:p/>
    <w:p>
      <w:pPr>
        <w:pStyle w:val="Heading3"/>
      </w:pPr>
      <w:r>
        <w:t xml:space="preserve">3. </w:t>
      </w:r>
      <w:r>
        <w:rPr>
          <w:rFonts w:hint="eastAsia"/>
        </w:rPr>
        <w:t xml:space="preserve">行使期間要件</w:t>
      </w:r>
    </w:p>
    <w:p>
      <w:pPr>
        <w:pStyle w:val="Compact"/>
        <w:numPr>
          <w:ilvl w:val="0"/>
          <w:numId w:val="1034"/>
        </w:numPr>
      </w:pPr>
      <w:r>
        <w:rPr>
          <w:rFonts w:hint="eastAsia"/>
        </w:rPr>
        <w:t xml:space="preserve">行使期間は発行決議の日から2年経過後10年以内(設立から5年未満は15年以内、2024年税制改正)</w:t>
      </w:r>
    </w:p>
    <w:p>
      <w:pPr>
        <w:pStyle w:val="Compact"/>
        <w:numPr>
          <w:ilvl w:val="0"/>
          <w:numId w:val="1035"/>
        </w:numPr>
      </w:pPr>
      <w:r>
        <w:rPr>
          <w:rFonts w:hint="eastAsia"/>
        </w:rPr>
        <w:t xml:space="preserve">行使開始日と終了日が明確</w:t>
      </w:r>
    </w:p>
    <w:p/>
    <w:p>
      <w:pPr>
        <w:pStyle w:val="Heading3"/>
      </w:pPr>
      <w:r>
        <w:t xml:space="preserve">4. </w:t>
      </w:r>
      <w:r>
        <w:rPr>
          <w:rFonts w:hint="eastAsia"/>
        </w:rPr>
        <w:t xml:space="preserve">年間行使限度額要件</w:t>
      </w:r>
    </w:p>
    <w:p>
      <w:pPr>
        <w:pStyle w:val="Compact"/>
        <w:numPr>
          <w:ilvl w:val="0"/>
          <w:numId w:val="1036"/>
        </w:numPr>
      </w:pPr>
      <w:r>
        <w:rPr>
          <w:rFonts w:hint="eastAsia"/>
        </w:rPr>
        <w:t xml:space="preserve">1人あたり年間1,200万円以下(設立から5年未満は2,400万円、5年以上20年未満は3,600万円、2024年税制改正)</w:t>
      </w:r>
    </w:p>
    <w:p/>
    <w:p>
      <w:pPr>
        <w:pStyle w:val="Heading3"/>
      </w:pPr>
      <w:r>
        <w:t xml:space="preserve">5. </w:t>
      </w:r>
      <w:r>
        <w:rPr>
          <w:rFonts w:hint="eastAsia"/>
        </w:rPr>
        <w:t xml:space="preserve">譲渡制限要件</w:t>
      </w:r>
    </w:p>
    <w:p>
      <w:pPr>
        <w:pStyle w:val="Compact"/>
        <w:numPr>
          <w:ilvl w:val="0"/>
          <w:numId w:val="1037"/>
        </w:numPr>
      </w:pPr>
      <w:r>
        <w:rPr>
          <w:rFonts w:hint="eastAsia"/>
        </w:rPr>
        <w:t xml:space="preserve">譲渡禁止条項を契約書に明記</w:t>
      </w:r>
    </w:p>
    <w:p>
      <w:pPr>
        <w:pStyle w:val="Compact"/>
        <w:numPr>
          <w:ilvl w:val="0"/>
          <w:numId w:val="1038"/>
        </w:numPr>
      </w:pPr>
      <w:r>
        <w:rPr>
          <w:rFonts w:hint="eastAsia"/>
        </w:rPr>
        <w:t xml:space="preserve">違反時の消滅条項あり</w:t>
      </w:r>
    </w:p>
    <w:p/>
    <w:p>
      <w:pPr>
        <w:pStyle w:val="Heading3"/>
      </w:pPr>
      <w:r>
        <w:t xml:space="preserve">6. </w:t>
      </w:r>
      <w:r>
        <w:rPr>
          <w:rFonts w:hint="eastAsia"/>
        </w:rPr>
        <w:t xml:space="preserve">株式保管委託要件</w:t>
      </w:r>
    </w:p>
    <w:p>
      <w:pPr>
        <w:pStyle w:val="Compact"/>
        <w:numPr>
          <w:ilvl w:val="0"/>
          <w:numId w:val="1039"/>
        </w:numPr>
      </w:pPr>
      <w:r>
        <w:rPr>
          <w:rFonts w:hint="eastAsia"/>
        </w:rPr>
        <w:t xml:space="preserve">行使後の株式を金融商品取引業者(証券会社)又は信託銀行で保管委託</w:t>
      </w:r>
    </w:p>
    <w:p>
      <w:pPr>
        <w:pStyle w:val="Compact"/>
        <w:numPr>
          <w:ilvl w:val="0"/>
          <w:numId w:val="1040"/>
        </w:numPr>
      </w:pPr>
      <w:r>
        <w:rPr>
          <w:rFonts w:hint="eastAsia"/>
        </w:rPr>
        <w:t xml:space="preserve">保管委託契約を別途締結</w:t>
      </w:r>
    </w:p>
    <w:p/>
    <w:p>
      <w:pPr>
        <w:pStyle w:val="Heading3"/>
      </w:pPr>
      <w:r>
        <w:t xml:space="preserve">7. </w:t>
      </w:r>
      <w:r>
        <w:rPr>
          <w:rFonts w:hint="eastAsia"/>
        </w:rPr>
        <w:t xml:space="preserve">法令遵守</w:t>
      </w:r>
    </w:p>
    <w:p>
      <w:pPr>
        <w:pStyle w:val="Compact"/>
        <w:numPr>
          <w:ilvl w:val="0"/>
          <w:numId w:val="1041"/>
        </w:numPr>
      </w:pPr>
      <w:r>
        <w:rPr>
          <w:rFonts w:hint="eastAsia"/>
        </w:rPr>
        <w:t xml:space="preserve">会社法上の発行手続きを適切に経ている</w:t>
      </w:r>
    </w:p>
    <w:p>
      <w:pPr>
        <w:pStyle w:val="Compact"/>
        <w:numPr>
          <w:ilvl w:val="0"/>
          <w:numId w:val="1042"/>
        </w:numPr>
      </w:pPr>
      <w:r>
        <w:rPr>
          <w:rFonts w:hint="eastAsia"/>
        </w:rPr>
        <w:t xml:space="preserve">株主総会・取締役会決議の議事録あり</w:t>
      </w:r>
    </w:p>
    <w:p>
      <w:pPr>
        <w:pStyle w:val="Compact"/>
        <w:numPr>
          <w:ilvl w:val="0"/>
          <w:numId w:val="1043"/>
        </w:numPr>
      </w:pPr>
      <w:r>
        <w:rPr>
          <w:rFonts w:hint="eastAsia"/>
        </w:rPr>
        <w:t xml:space="preserve">変更登記(2週間以内)申請済み</w:t>
      </w:r>
    </w:p>
    <w:p>
      <w:pPr>
        <w:pStyle w:val="FirstParagraph"/>
      </w:pPr>
      <w:r>
        <w:rPr>
          <w:rFonts w:hint="eastAsia"/>
        </w:rPr>
        <w:t xml:space="preserve">(注)上記要件のいずれかを満たさない場合、税制適格SOとして扱われず、行使時に給与所得課税となる可能性があります。</w:t>
      </w:r>
      <w:r>
        <w:rPr>
          <w:rFonts w:hint="eastAsia"/>
          <w:b/>
          <w:bCs/>
        </w:rPr>
        <w:t xml:space="preserve">個別の要件判定は税理士相談</w:t>
      </w:r>
      <w:r>
        <w:rPr>
          <w:rFonts w:hint="eastAsia"/>
        </w:rPr>
        <w:t xml:space="preserve">が必須です。</w:t>
      </w:r>
    </w:p>
    <w:p/>
    <w:p>
      <w:pPr>
        <w:pStyle w:val="Heading2"/>
      </w:pPr>
      <w:r>
        <w:rPr>
          <w:rFonts w:hint="eastAsia"/>
        </w:rPr>
        <w:t xml:space="preserve">印紙税について</w:t>
      </w:r>
    </w:p>
    <w:p>
      <w:pPr>
        <w:pStyle w:val="FirstParagraph"/>
      </w:pPr>
      <w:r>
        <w:rPr>
          <w:rFonts w:hint="eastAsia"/>
        </w:rPr>
        <w:t xml:space="preserve">本書(新株予約権割当契約書)は、</w:t>
      </w:r>
      <w:r>
        <w:rPr>
          <w:rFonts w:hint="eastAsia"/>
          <w:b/>
          <w:bCs/>
        </w:rPr>
        <w:t xml:space="preserve">印紙税法上の課税文書に該当しないため、収入印紙は不要</w:t>
      </w:r>
      <w:r>
        <w:rPr>
          <w:rFonts w:hint="eastAsia"/>
        </w:rPr>
        <w:t xml:space="preserve">です。新株予約権割当契約書は会社法上の権利関係を整理する文書であり、印紙税法別表第一の課税物件のいずれにも該当しないためです。</w:t>
      </w:r>
    </w:p>
    <w:p/>
    <w:p>
      <w:pPr>
        <w:pStyle w:val="Heading3"/>
      </w:pPr>
      <w:r>
        <w:rPr>
          <w:rFonts w:hint="eastAsia"/>
        </w:rPr>
        <w:t xml:space="preserve">電子契約での締結でコスト削減</w:t>
      </w:r>
    </w:p>
    <w:p>
      <w:pPr>
        <w:pStyle w:val="FirstParagraph"/>
      </w:pPr>
      <w:r>
        <w:rPr>
          <w:rFonts w:hint="eastAsia"/>
        </w:rPr>
        <w:t xml:space="preserve">本書を</w:t>
      </w:r>
      <w:r>
        <w:rPr>
          <w:rFonts w:hint="eastAsia"/>
          <w:b/>
          <w:bCs/>
        </w:rPr>
        <w:t xml:space="preserve">電子契約(電磁的記録)で締結する場合も、もちろん印紙税はかかりません</w:t>
      </w:r>
      <w:r>
        <w:rPr>
          <w:rFonts w:hint="eastAsia"/>
        </w:rPr>
        <w:t xml:space="preserve">。さらに、複数の権利者と一括締結することで、業務効率化と書類管理の負担軽減が実現します。</w:t>
      </w:r>
    </w:p>
    <w:p/>
    <w:p>
      <w:pPr>
        <w:pStyle w:val="Heading2"/>
      </w:pPr>
      <w:r>
        <w:rPr>
          <w:rFonts w:hint="eastAsia"/>
        </w:rPr>
        <w:t xml:space="preserve">「新株予約権割当契約書」と関連書類のセット運用</w:t>
      </w:r>
    </w:p>
    <w:p>
      <w:pPr>
        <w:pStyle w:val="FirstParagraph"/>
      </w:pPr>
      <w:r>
        <w:rPr>
          <w:rFonts w:hint="eastAsia"/>
        </w:rPr>
        <w:t xml:space="preserve">新株予約権の発行・運用を円滑に進めるには、本契約書と以下の関連書類をセットで整備することを推奨します。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新株予約権割当契約書(本テンプレート)</w:t>
            </w:r>
          </w:p>
        </w:tc>
        <w:tc>
          <w:tcPr/>
          <w:p>
            <w:pPr>
              <w:pStyle w:val="Compact"/>
            </w:pPr>
            <w:r>
              <w:rPr>
                <w:rFonts w:hint="eastAsia"/>
              </w:rPr>
              <w:t xml:space="preserve">個別の権利者との契約</w:t>
            </w:r>
          </w:p>
        </w:tc>
      </w:tr>
      <w:tr>
        <w:tc>
          <w:tcPr/>
          <w:p>
            <w:pPr>
              <w:pStyle w:val="Compact"/>
            </w:pPr>
            <w:r>
              <w:rPr>
                <w:rFonts w:hint="eastAsia"/>
              </w:rPr>
              <w:t xml:space="preserve">株主総会議事録・取締役会議事録</w:t>
            </w:r>
          </w:p>
        </w:tc>
        <w:tc>
          <w:tcPr/>
          <w:p>
            <w:pPr>
              <w:pStyle w:val="Compact"/>
            </w:pPr>
            <w:r>
              <w:rPr>
                <w:rFonts w:hint="eastAsia"/>
              </w:rPr>
              <w:t xml:space="preserve">発行決議の証跡</w:t>
            </w:r>
          </w:p>
        </w:tc>
      </w:tr>
      <w:tr>
        <w:tc>
          <w:tcPr/>
          <w:p>
            <w:pPr>
              <w:pStyle w:val="Compact"/>
            </w:pPr>
            <w:r>
              <w:rPr>
                <w:rFonts w:hint="eastAsia"/>
              </w:rPr>
              <w:t xml:space="preserve">募集事項決定書</w:t>
            </w:r>
          </w:p>
        </w:tc>
        <w:tc>
          <w:tcPr/>
          <w:p>
            <w:pPr>
              <w:pStyle w:val="Compact"/>
            </w:pPr>
            <w:r>
              <w:rPr>
                <w:rFonts w:hint="eastAsia"/>
              </w:rPr>
              <w:t xml:space="preserve">発行決議の内容明文化</w:t>
            </w:r>
          </w:p>
        </w:tc>
      </w:tr>
      <w:tr>
        <w:tc>
          <w:tcPr/>
          <w:p>
            <w:pPr>
              <w:pStyle w:val="Compact"/>
            </w:pPr>
            <w:r>
              <w:rPr>
                <w:rFonts w:hint="eastAsia"/>
              </w:rPr>
              <w:t xml:space="preserve">新株予約権原簿</w:t>
            </w:r>
          </w:p>
        </w:tc>
        <w:tc>
          <w:tcPr/>
          <w:p>
            <w:pPr>
              <w:pStyle w:val="Compact"/>
            </w:pPr>
            <w:r>
              <w:rPr>
                <w:rFonts w:hint="eastAsia"/>
              </w:rPr>
              <w:t xml:space="preserve">会社法第249条の必須帳簿</w:t>
            </w:r>
          </w:p>
        </w:tc>
      </w:tr>
      <w:tr>
        <w:tc>
          <w:tcPr/>
          <w:p>
            <w:pPr>
              <w:pStyle w:val="Compact"/>
            </w:pPr>
            <w:r>
              <w:rPr>
                <w:rFonts w:hint="eastAsia"/>
              </w:rPr>
              <w:t xml:space="preserve">変更登記申請書類</w:t>
            </w:r>
          </w:p>
        </w:tc>
        <w:tc>
          <w:tcPr/>
          <w:p>
            <w:pPr>
              <w:pStyle w:val="Compact"/>
            </w:pPr>
            <w:r>
              <w:rPr>
                <w:rFonts w:hint="eastAsia"/>
              </w:rPr>
              <w:t xml:space="preserve">法務局への提出書類</w:t>
            </w:r>
          </w:p>
        </w:tc>
      </w:tr>
      <w:tr>
        <w:tc>
          <w:tcPr/>
          <w:p>
            <w:pPr>
              <w:pStyle w:val="Compact"/>
            </w:pPr>
            <w:r>
              <w:rPr>
                <w:rFonts w:hint="eastAsia"/>
              </w:rPr>
              <w:t xml:space="preserve">株式の保管委託契約書(税制適格時)</w:t>
            </w:r>
          </w:p>
        </w:tc>
        <w:tc>
          <w:tcPr/>
          <w:p>
            <w:pPr>
              <w:pStyle w:val="Compact"/>
            </w:pPr>
            <w:r>
              <w:rPr>
                <w:rFonts w:hint="eastAsia"/>
              </w:rPr>
              <w:t xml:space="preserve">税制適格要件の充足</w:t>
            </w:r>
          </w:p>
        </w:tc>
      </w:tr>
      <w:tr>
        <w:tc>
          <w:tcPr/>
          <w:p>
            <w:pPr>
              <w:pStyle w:val="Compact"/>
            </w:pPr>
            <w:r>
              <w:rPr>
                <w:rFonts w:hint="eastAsia"/>
              </w:rPr>
              <w:t xml:space="preserve">ベスティング管理表</w:t>
            </w:r>
          </w:p>
        </w:tc>
        <w:tc>
          <w:tcPr/>
          <w:p>
            <w:pPr>
              <w:pStyle w:val="Compact"/>
            </w:pPr>
            <w:r>
              <w:rPr>
                <w:rFonts w:hint="eastAsia"/>
              </w:rPr>
              <w:t xml:space="preserve">個別権利者の権利確定状況管理</w:t>
            </w:r>
          </w:p>
        </w:tc>
      </w:tr>
      <w:tr>
        <w:tc>
          <w:tcPr/>
          <w:p>
            <w:pPr>
              <w:pStyle w:val="Compact"/>
            </w:pPr>
            <w:r>
              <w:rPr>
                <w:rFonts w:hint="eastAsia"/>
              </w:rPr>
              <w:t xml:space="preserve">行使請求書</w:t>
            </w:r>
          </w:p>
        </w:tc>
        <w:tc>
          <w:tcPr/>
          <w:p>
            <w:pPr>
              <w:pStyle w:val="Compact"/>
            </w:pPr>
            <w:r>
              <w:rPr>
                <w:rFonts w:hint="eastAsia"/>
              </w:rPr>
              <w:t xml:space="preserve">権利行使時の書類</w:t>
            </w:r>
          </w:p>
        </w:tc>
      </w:tr>
      <w:tr>
        <w:tc>
          <w:tcPr/>
          <w:p>
            <w:pPr>
              <w:pStyle w:val="Compact"/>
            </w:pPr>
            <w:r>
              <w:rPr>
                <w:rFonts w:hint="eastAsia"/>
              </w:rPr>
              <w:t xml:space="preserve">株式評価書(行使価格の算定根拠)</w:t>
            </w:r>
          </w:p>
        </w:tc>
        <w:tc>
          <w:tcPr/>
          <w:p>
            <w:pPr>
              <w:pStyle w:val="Compact"/>
            </w:pPr>
            <w:r>
              <w:rPr>
                <w:rFonts w:hint="eastAsia"/>
              </w:rPr>
              <w:t xml:space="preserve">公認会計士・税理士の評価書</w:t>
            </w:r>
          </w:p>
        </w:tc>
      </w:tr>
    </w:tbl>
    <w:p>
      <w:pPr>
        <w:pStyle w:val="BodyText"/>
      </w:pPr>
      <w:r>
        <w:rPr>
          <w:rFonts w:hint="eastAsia"/>
        </w:rPr>
        <w:t xml:space="preserve">これらを一体的に運用することで、SO制度の長期的な安定運用が実現します。</w:t>
      </w:r>
    </w:p>
    <w:p/>
    <w:p>
      <w:pPr>
        <w:pStyle w:val="Heading2"/>
      </w:pPr>
      <w:r>
        <w:rPr>
          <w:rFonts w:hint="eastAsia"/>
        </w:rPr>
        <w:t xml:space="preserve">重要な相談窓口</w:t>
      </w:r>
    </w:p>
    <w:p>
      <w:pPr>
        <w:pStyle w:val="Compact"/>
        <w:numPr>
          <w:ilvl w:val="0"/>
          <w:numId w:val="1045"/>
        </w:numPr>
      </w:pPr>
      <w:r>
        <w:rPr>
          <w:rFonts w:hint="eastAsia"/>
          <w:b/>
          <w:bCs/>
        </w:rPr>
        <w:t xml:space="preserve">弁護士</w:t>
      </w:r>
      <w:r>
        <w:rPr>
          <w:rFonts w:hint="eastAsia"/>
        </w:rPr>
        <w:t xml:space="preserve">:SO設計・会社法上の発行手続き・契約書作成</w:t>
      </w:r>
    </w:p>
    <w:p>
      <w:pPr>
        <w:pStyle w:val="Compact"/>
        <w:numPr>
          <w:ilvl w:val="0"/>
          <w:numId w:val="1045"/>
        </w:numPr>
      </w:pPr>
      <w:r>
        <w:rPr>
          <w:rFonts w:hint="eastAsia"/>
          <w:b/>
          <w:bCs/>
        </w:rPr>
        <w:t xml:space="preserve">税理士・公認会計士</w:t>
      </w:r>
      <w:r>
        <w:rPr>
          <w:rFonts w:hint="eastAsia"/>
        </w:rPr>
        <w:t xml:space="preserve">:税制適格要件・税務処理・株式評価</w:t>
      </w:r>
    </w:p>
    <w:p>
      <w:pPr>
        <w:pStyle w:val="Compact"/>
        <w:numPr>
          <w:ilvl w:val="0"/>
          <w:numId w:val="1045"/>
        </w:numPr>
      </w:pPr>
      <w:r>
        <w:rPr>
          <w:rFonts w:hint="eastAsia"/>
          <w:b/>
          <w:bCs/>
        </w:rPr>
        <w:t xml:space="preserve">司法書士</w:t>
      </w:r>
      <w:r>
        <w:rPr>
          <w:rFonts w:hint="eastAsia"/>
        </w:rPr>
        <w:t xml:space="preserve">:新株予約権の変更登記申請</w:t>
      </w:r>
    </w:p>
    <w:p>
      <w:pPr>
        <w:pStyle w:val="Compact"/>
        <w:numPr>
          <w:ilvl w:val="0"/>
          <w:numId w:val="1045"/>
        </w:numPr>
      </w:pPr>
      <w:r>
        <w:rPr>
          <w:rFonts w:hint="eastAsia"/>
          <w:b/>
          <w:bCs/>
        </w:rPr>
        <w:t xml:space="preserve">株式評価専門家</w:t>
      </w:r>
      <w:r>
        <w:rPr>
          <w:rFonts w:hint="eastAsia"/>
        </w:rPr>
        <w:t xml:space="preserve">:行使価格の算定</w:t>
      </w:r>
    </w:p>
    <w:p>
      <w:pPr>
        <w:pStyle w:val="Compact"/>
        <w:numPr>
          <w:ilvl w:val="0"/>
          <w:numId w:val="1045"/>
        </w:numPr>
      </w:pPr>
      <w:r>
        <w:rPr>
          <w:rFonts w:hint="eastAsia"/>
          <w:b/>
          <w:bCs/>
        </w:rPr>
        <w:t xml:space="preserve">国税庁・税務署</w:t>
      </w:r>
      <w:r>
        <w:rPr>
          <w:rFonts w:hint="eastAsia"/>
        </w:rPr>
        <w:t xml:space="preserve">:税務関連の問い合わせ</w:t>
      </w:r>
    </w:p>
    <w:p>
      <w:pPr>
        <w:pStyle w:val="Compact"/>
        <w:numPr>
          <w:ilvl w:val="0"/>
          <w:numId w:val="1045"/>
        </w:numPr>
      </w:pPr>
      <w:r>
        <w:rPr>
          <w:rFonts w:hint="eastAsia"/>
          <w:b/>
          <w:bCs/>
        </w:rPr>
        <w:t xml:space="preserve">金融商品取引業者(証券会社・信託銀行)</w:t>
      </w:r>
      <w:r>
        <w:rPr>
          <w:rFonts w:hint="eastAsia"/>
        </w:rPr>
        <w:t xml:space="preserve">:株式の保管委託</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2"/>
  </w:num>
  <w:num w:numId="1040">
    <w:abstractNumId w:val="992"/>
  </w:num>
  <w:num w:numId="1041">
    <w:abstractNumId w:val="992"/>
  </w:num>
  <w:num w:numId="1042">
    <w:abstractNumId w:val="992"/>
  </w:num>
  <w:num w:numId="1043">
    <w:abstractNumId w:val="992"/>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