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建物使用貸借契約書</w:t>
      </w:r>
    </w:p>
    <w:p>
      <w:pPr>
        <w:pStyle w:val="FirstParagraph"/>
      </w:pPr>
      <w:r>
        <w:rPr>
          <w:highlight w:val="yellow"/>
        </w:rPr>
        <w:t xml:space="preserve">[貸主の氏名または名称]</w:t>
      </w:r>
      <w:r>
        <w:rPr>
          <w:rFonts w:hint="eastAsia"/>
        </w:rPr>
        <w:t xml:space="preserve">(以下「甲」という。)と</w:t>
      </w:r>
      <w:r>
        <w:rPr>
          <w:highlight w:val="yellow"/>
        </w:rPr>
        <w:t xml:space="preserve">[借主の氏名または名称]</w:t>
      </w:r>
      <w:r>
        <w:rPr>
          <w:rFonts w:hint="eastAsia"/>
        </w:rPr>
        <w:t xml:space="preserve">(以下「乙」という。)は、後記第1条記載の建物について、次のとおり使用貸借契約(以下「本契約」という。)を締結する。</w:t>
      </w:r>
    </w:p>
    <w:p/>
    <w:p>
      <w:pPr>
        <w:pStyle w:val="Heading3"/>
      </w:pPr>
      <w:r>
        <w:rPr>
          <w:rFonts w:hint="eastAsia"/>
        </w:rPr>
        <w:t xml:space="preserve">第1条(本件建物の表示)</w:t>
      </w:r>
    </w:p>
    <w:p>
      <w:pPr>
        <w:pStyle w:val="FirstParagraph"/>
      </w:pPr>
      <w:r>
        <w:rPr>
          <w:rFonts w:hint="eastAsia"/>
        </w:rPr>
        <w:t xml:space="preserve">本契約の目的物である建物(以下「本件建物」という。)の表示は、次のとおりとする。</w:t>
      </w:r>
    </w:p>
    <w:p>
      <w:pPr>
        <w:pStyle w:val="Compact"/>
        <w:numPr>
          <w:ilvl w:val="0"/>
          <w:numId w:val="2000"/>
        </w:numPr>
        <w:ind w:left="1080" w:hanging="360"/>
      </w:pPr>
      <w:r>
        <w:rPr>
          <w:rFonts w:hint="eastAsia"/>
        </w:rPr>
        <w:t xml:space="preserve">所在:</w:t>
      </w:r>
      <w:r>
        <w:rPr>
          <w:highlight w:val="yellow"/>
        </w:rPr>
        <w:t xml:space="preserve">[所在(地番まで)]</w:t>
      </w:r>
    </w:p>
    <w:p>
      <w:pPr>
        <w:pStyle w:val="Compact"/>
        <w:numPr>
          <w:ilvl w:val="0"/>
          <w:numId w:val="2000"/>
        </w:numPr>
        <w:ind w:left="1080" w:hanging="360"/>
      </w:pPr>
      <w:r>
        <w:rPr>
          <w:rFonts w:hint="eastAsia"/>
        </w:rPr>
        <w:t xml:space="preserve">家屋番号:</w:t>
      </w:r>
      <w:r>
        <w:rPr>
          <w:highlight w:val="yellow"/>
        </w:rPr>
        <w:t xml:space="preserve">[家屋番号]</w:t>
      </w:r>
    </w:p>
    <w:p>
      <w:pPr>
        <w:pStyle w:val="Compact"/>
        <w:numPr>
          <w:ilvl w:val="0"/>
          <w:numId w:val="2000"/>
        </w:numPr>
        <w:ind w:left="1080" w:hanging="360"/>
      </w:pPr>
      <w:r>
        <w:rPr>
          <w:rFonts w:hint="eastAsia"/>
        </w:rPr>
        <w:t xml:space="preserve">種類:</w:t>
      </w:r>
      <w:r>
        <w:rPr>
          <w:highlight w:val="yellow"/>
        </w:rPr>
        <w:t xml:space="preserve">[種類(例:居宅、店舗、事務所)]</w:t>
      </w:r>
    </w:p>
    <w:p>
      <w:pPr>
        <w:pStyle w:val="Compact"/>
        <w:numPr>
          <w:ilvl w:val="0"/>
          <w:numId w:val="2000"/>
        </w:numPr>
        <w:ind w:left="1080" w:hanging="360"/>
      </w:pPr>
      <w:r>
        <w:rPr>
          <w:rFonts w:hint="eastAsia"/>
        </w:rPr>
        <w:t xml:space="preserve">構造:</w:t>
      </w:r>
      <w:r>
        <w:rPr>
          <w:highlight w:val="yellow"/>
        </w:rPr>
        <w:t xml:space="preserve">[構造(例:木造かわらぶき2階建)]</w:t>
      </w:r>
    </w:p>
    <w:p>
      <w:pPr>
        <w:pStyle w:val="Compact"/>
        <w:numPr>
          <w:ilvl w:val="0"/>
          <w:numId w:val="2000"/>
        </w:numPr>
        <w:ind w:left="1080" w:hanging="360"/>
      </w:pPr>
      <w:r>
        <w:rPr>
          <w:rFonts w:hint="eastAsia"/>
        </w:rPr>
        <w:t xml:space="preserve">床面積:</w:t>
      </w:r>
      <w:r>
        <w:rPr>
          <w:highlight w:val="yellow"/>
        </w:rPr>
        <w:t xml:space="preserve">[床面積(平方メートル)]</w:t>
      </w:r>
    </w:p>
    <w:p>
      <w:pPr>
        <w:pStyle w:val="BodyText"/>
      </w:pPr>
      <w:r>
        <w:rPr>
          <w:rFonts w:hint="eastAsia"/>
        </w:rPr>
        <w:t xml:space="preserve">乙が本件建物のうち使用及び収益をすることができる範囲は、次のとおりとする。該当する□にチェックを付す。</w:t>
      </w:r>
    </w:p>
    <w:p>
      <w:pPr>
        <w:pStyle w:val="BodyText"/>
      </w:pPr>
      <w:r>
        <w:rPr>
          <w:rFonts w:hint="eastAsia"/>
        </w:rPr>
        <w:t xml:space="preserve">□ 本件建物の全部</w:t>
      </w:r>
    </w:p>
    <w:p>
      <w:pPr>
        <w:pStyle w:val="BodyText"/>
      </w:pPr>
      <w:r>
        <w:rPr>
          <w:rFonts w:hint="eastAsia"/>
        </w:rPr>
        <w:t xml:space="preserve">□ 本件建物の一部(</w:t>
      </w:r>
      <w:r>
        <w:rPr>
          <w:highlight w:val="yellow"/>
        </w:rPr>
        <w:t xml:space="preserve">[使用する階数・部屋名]</w:t>
      </w:r>
      <w:r>
        <w:rPr>
          <w:rFonts w:hint="eastAsia"/>
        </w:rPr>
        <w:t xml:space="preserve">)</w:t>
      </w:r>
    </w:p>
    <w:p/>
    <w:p>
      <w:pPr>
        <w:pStyle w:val="Heading3"/>
      </w:pPr>
      <w:r>
        <w:rPr>
          <w:rFonts w:hint="eastAsia"/>
        </w:rPr>
        <w:t xml:space="preserve">第2条(無償による貸与)</w:t>
      </w:r>
    </w:p>
    <w:p>
      <w:pPr>
        <w:pStyle w:val="Compact"/>
        <w:numPr>
          <w:ilvl w:val="0"/>
          <w:numId w:val="2001"/>
        </w:numPr>
        <w:ind w:left="1080" w:hanging="360"/>
      </w:pPr>
      <w:r>
        <w:rPr>
          <w:rFonts w:hint="eastAsia"/>
        </w:rPr>
        <w:t xml:space="preserve">甲は乙に対し、本件建物を無償で貸し渡し、乙はこれを借り受ける。</w:t>
      </w:r>
    </w:p>
    <w:p>
      <w:pPr>
        <w:pStyle w:val="Compact"/>
        <w:numPr>
          <w:ilvl w:val="0"/>
          <w:numId w:val="2001"/>
        </w:numPr>
        <w:ind w:left="1080" w:hanging="360"/>
      </w:pPr>
      <w:r>
        <w:rPr>
          <w:rFonts w:hint="eastAsia"/>
        </w:rPr>
        <w:t xml:space="preserve">本契約においては、本件建物の使用及び収益の対価を定めない。甲は乙に対し、賃料、使用料その他名目のいかんを問わず、本件建物の使用及び収益の対価を請求しない。</w:t>
      </w:r>
    </w:p>
    <w:p/>
    <w:p>
      <w:pPr>
        <w:pStyle w:val="Heading3"/>
      </w:pPr>
      <w:r>
        <w:rPr>
          <w:rFonts w:hint="eastAsia"/>
        </w:rPr>
        <w:t xml:space="preserve">第3条(引渡し及び現状有姿)</w:t>
      </w:r>
    </w:p>
    <w:p>
      <w:pPr>
        <w:pStyle w:val="Compact"/>
        <w:numPr>
          <w:ilvl w:val="0"/>
          <w:numId w:val="2002"/>
        </w:numPr>
        <w:ind w:left="1080" w:hanging="360"/>
      </w:pPr>
      <w:r>
        <w:rPr>
          <w:rFonts w:hint="eastAsia"/>
        </w:rPr>
        <w:t xml:space="preserve">甲は乙に対し、</w:t>
      </w:r>
      <w:r>
        <w:rPr>
          <w:highlight w:val="yellow"/>
        </w:rPr>
        <w:t xml:space="preserve">[YYYY年MM月DD日]</w:t>
      </w:r>
      <w:r>
        <w:rPr>
          <w:rFonts w:hint="eastAsia"/>
        </w:rPr>
        <w:t xml:space="preserve">に、本件建物を現状有姿のまま引き渡す。</w:t>
      </w:r>
    </w:p>
    <w:p>
      <w:pPr>
        <w:pStyle w:val="Compact"/>
        <w:numPr>
          <w:ilvl w:val="0"/>
          <w:numId w:val="2002"/>
        </w:numPr>
        <w:ind w:left="1080" w:hanging="360"/>
      </w:pPr>
      <w:r>
        <w:rPr>
          <w:rFonts w:hint="eastAsia"/>
        </w:rPr>
        <w:t xml:space="preserve">甲及び乙は、前項の引渡しの時における本件建物の状態を、別紙又は写真により相互に確認し、これを記録する。当該記録は、第15条第3項の原状回復の範囲を判断する際の基準とする。</w:t>
      </w:r>
    </w:p>
    <w:p/>
    <w:p>
      <w:pPr>
        <w:pStyle w:val="Heading3"/>
      </w:pPr>
      <w:r>
        <w:rPr>
          <w:rFonts w:hint="eastAsia"/>
        </w:rPr>
        <w:t xml:space="preserve">第4条(使用目的)</w:t>
      </w:r>
    </w:p>
    <w:p>
      <w:pPr>
        <w:pStyle w:val="FirstParagraph"/>
      </w:pPr>
      <w:r>
        <w:rPr>
          <w:rFonts w:hint="eastAsia"/>
        </w:rPr>
        <w:t xml:space="preserve">乙が本件建物について使用及び収益をする目的は、次のとおりとする。該当する□にチェックを付す。</w:t>
      </w:r>
    </w:p>
    <w:p>
      <w:pPr>
        <w:pStyle w:val="BodyText"/>
      </w:pPr>
      <w:r>
        <w:rPr>
          <w:rFonts w:hint="eastAsia"/>
        </w:rPr>
        <w:t xml:space="preserve">□ 乙及び同居の親族の居住の用</w:t>
      </w:r>
    </w:p>
    <w:p>
      <w:pPr>
        <w:pStyle w:val="BodyText"/>
      </w:pPr>
      <w:r>
        <w:rPr>
          <w:rFonts w:hint="eastAsia"/>
        </w:rPr>
        <w:t xml:space="preserve">□ 乙の事業の用(業種:</w:t>
      </w:r>
      <w:r>
        <w:rPr>
          <w:highlight w:val="yellow"/>
        </w:rPr>
        <w:t xml:space="preserve">[業種]</w:t>
      </w:r>
      <w:r>
        <w:rPr>
          <w:rFonts w:hint="eastAsia"/>
        </w:rPr>
        <w:t xml:space="preserve">)</w:t>
      </w:r>
    </w:p>
    <w:p>
      <w:pPr>
        <w:pStyle w:val="BodyText"/>
      </w:pPr>
      <w:r>
        <w:rPr>
          <w:rFonts w:hint="eastAsia"/>
        </w:rPr>
        <w:t xml:space="preserve">□ 物品・車両の保管の用</w:t>
      </w:r>
    </w:p>
    <w:p>
      <w:pPr>
        <w:pStyle w:val="BodyText"/>
      </w:pPr>
      <w:r>
        <w:rPr>
          <w:rFonts w:hint="eastAsia"/>
        </w:rPr>
        <w:t xml:space="preserve">□ その他(</w:t>
      </w:r>
      <w:r>
        <w:rPr>
          <w:highlight w:val="yellow"/>
        </w:rPr>
        <w:t xml:space="preserve">[具体的な用途]</w:t>
      </w:r>
      <w:r>
        <w:rPr>
          <w:rFonts w:hint="eastAsia"/>
        </w:rPr>
        <w:t xml:space="preserve">)</w:t>
      </w:r>
    </w:p>
    <w:p>
      <w:pPr>
        <w:pStyle w:val="BodyText"/>
      </w:pPr>
      <w:r>
        <w:rPr>
          <w:rFonts w:hint="eastAsia"/>
        </w:rPr>
        <w:t xml:space="preserve">□ 使用及び収益の目的を定めない</w:t>
      </w:r>
    </w:p>
    <w:p>
      <w:pPr>
        <w:pStyle w:val="BodyText"/>
      </w:pPr>
      <w:r>
        <w:rPr>
          <w:rFonts w:hint="eastAsia"/>
        </w:rPr>
        <w:t xml:space="preserve">「使用及び収益の目的を定めない」を選択した場合を除き、乙は、選択した目的以外に本件建物を使用し、又は収益してはならない。</w:t>
      </w:r>
    </w:p>
    <w:p/>
    <w:p>
      <w:pPr>
        <w:pStyle w:val="Heading3"/>
      </w:pPr>
      <w:r>
        <w:rPr>
          <w:rFonts w:hint="eastAsia"/>
        </w:rPr>
        <w:t xml:space="preserve">第5条(使用貸借の期間)</w:t>
      </w:r>
    </w:p>
    <w:p>
      <w:pPr>
        <w:pStyle w:val="Compact"/>
        <w:numPr>
          <w:ilvl w:val="0"/>
          <w:numId w:val="2003"/>
        </w:numPr>
        <w:ind w:left="1080" w:hanging="360"/>
      </w:pPr>
      <w:r>
        <w:rPr>
          <w:rFonts w:hint="eastAsia"/>
        </w:rPr>
        <w:t xml:space="preserve">本契約の期間は、次のとおりとする。該当する□にチェックを付す。</w:t>
      </w:r>
    </w:p>
    <w:p>
      <w:pPr>
        <w:pStyle w:val="Compact"/>
        <w:numPr>
          <w:ilvl w:val="1"/>
          <w:numId w:val="2003"/>
        </w:numPr>
        <w:ind w:left="1440" w:hanging="360"/>
      </w:pPr>
      <w:r>
        <w:rPr>
          <w:rFonts w:hint="eastAsia"/>
        </w:rPr>
        <w:t xml:space="preserve">□ </w:t>
      </w:r>
      <w:r>
        <w:rPr>
          <w:highlight w:val="yellow"/>
        </w:rPr>
        <w:t xml:space="preserve">[YYYY年MM月DD日]</w:t>
      </w:r>
      <w:r>
        <w:rPr>
          <w:rFonts w:hint="eastAsia"/>
        </w:rPr>
        <w:t xml:space="preserve">から</w:t>
      </w:r>
      <w:r>
        <w:rPr>
          <w:highlight w:val="yellow"/>
        </w:rPr>
        <w:t xml:space="preserve">[YYYY年MM月DD日]</w:t>
      </w:r>
      <w:r>
        <w:rPr>
          <w:rFonts w:hint="eastAsia"/>
        </w:rPr>
        <w:t xml:space="preserve">まで</w:t>
      </w:r>
    </w:p>
    <w:p>
      <w:pPr>
        <w:pStyle w:val="Compact"/>
        <w:numPr>
          <w:ilvl w:val="1"/>
          <w:numId w:val="2003"/>
        </w:numPr>
        <w:ind w:left="1440" w:hanging="360"/>
      </w:pPr>
      <w:r>
        <w:rPr>
          <w:rFonts w:hint="eastAsia"/>
        </w:rPr>
        <w:t xml:space="preserve">□ 期間を定めない。</w:t>
      </w:r>
    </w:p>
    <w:p>
      <w:pPr>
        <w:pStyle w:val="Compact"/>
        <w:numPr>
          <w:ilvl w:val="0"/>
          <w:numId w:val="2003"/>
        </w:numPr>
        <w:ind w:left="1080" w:hanging="360"/>
      </w:pPr>
      <w:r>
        <w:rPr>
          <w:rFonts w:hint="eastAsia"/>
        </w:rPr>
        <w:t xml:space="preserve">甲及び乙は、第4条において使用及び収益の目的を定めず、かつ、前項において期間を定めなかった場合には、民法第598条第2項により甲がいつでも本契約の解除をすることができることを確認する。</w:t>
      </w:r>
    </w:p>
    <w:p/>
    <w:p>
      <w:pPr>
        <w:pStyle w:val="Heading3"/>
      </w:pPr>
      <w:r>
        <w:rPr>
          <w:rFonts w:hint="eastAsia"/>
        </w:rPr>
        <w:t xml:space="preserve">第6条(費用の負担)</w:t>
      </w:r>
    </w:p>
    <w:p>
      <w:pPr>
        <w:pStyle w:val="Compact"/>
        <w:numPr>
          <w:ilvl w:val="0"/>
          <w:numId w:val="2004"/>
        </w:numPr>
        <w:ind w:left="1080" w:hanging="360"/>
      </w:pPr>
      <w:r>
        <w:rPr>
          <w:rFonts w:hint="eastAsia"/>
        </w:rPr>
        <w:t xml:space="preserve">乙は、本件建物の通常の必要費を負担する。本件建物の使用に伴い発生する電気、ガス、水道及び</w:t>
      </w:r>
      <w:r>
        <w:rPr>
          <w:highlight w:val="yellow"/>
        </w:rPr>
        <w:t xml:space="preserve">[その他乙が負担する費用(例:通信、町内会費)]</w:t>
      </w:r>
      <w:r>
        <w:rPr>
          <w:rFonts w:hint="eastAsia"/>
        </w:rPr>
        <w:t xml:space="preserve">の費用は、乙の負担とする。</w:t>
      </w:r>
    </w:p>
    <w:p>
      <w:pPr>
        <w:pStyle w:val="Compact"/>
        <w:numPr>
          <w:ilvl w:val="0"/>
          <w:numId w:val="2004"/>
        </w:numPr>
        <w:ind w:left="1080" w:hanging="360"/>
      </w:pPr>
      <w:r>
        <w:rPr>
          <w:rFonts w:hint="eastAsia"/>
        </w:rPr>
        <w:t xml:space="preserve">本件建物に係る固定資産税及び都市計画税の取扱いは、次のとおりとする。該当する□にチェックを付す。</w:t>
      </w:r>
    </w:p>
    <w:p>
      <w:pPr>
        <w:pStyle w:val="Compact"/>
        <w:numPr>
          <w:ilvl w:val="1"/>
          <w:numId w:val="2004"/>
        </w:numPr>
        <w:ind w:left="1440" w:hanging="360"/>
      </w:pPr>
      <w:r>
        <w:rPr>
          <w:rFonts w:hint="eastAsia"/>
        </w:rPr>
        <w:t xml:space="preserve">□ 乙は、これらに相当する額を甲に支払う。</w:t>
      </w:r>
    </w:p>
    <w:p>
      <w:pPr>
        <w:pStyle w:val="Compact"/>
        <w:numPr>
          <w:ilvl w:val="1"/>
          <w:numId w:val="2004"/>
        </w:numPr>
        <w:ind w:left="1440" w:hanging="360"/>
      </w:pPr>
      <w:r>
        <w:rPr>
          <w:rFonts w:hint="eastAsia"/>
        </w:rPr>
        <w:t xml:space="preserve">□ 乙は、これらを負担しない。</w:t>
      </w:r>
    </w:p>
    <w:p>
      <w:pPr>
        <w:pStyle w:val="Compact"/>
        <w:numPr>
          <w:ilvl w:val="0"/>
          <w:numId w:val="2004"/>
        </w:numPr>
        <w:ind w:left="1080" w:hanging="360"/>
      </w:pPr>
      <w:r>
        <w:rPr>
          <w:rFonts w:hint="eastAsia"/>
        </w:rPr>
        <w:t xml:space="preserve">前2項により乙が負担し、又は甲に支払う金銭は、本件建物の使用及び収益の対価ではない。</w:t>
      </w:r>
    </w:p>
    <w:p>
      <w:pPr>
        <w:pStyle w:val="Compact"/>
        <w:numPr>
          <w:ilvl w:val="0"/>
          <w:numId w:val="2004"/>
        </w:numPr>
        <w:ind w:left="1080" w:hanging="360"/>
      </w:pPr>
      <w:r>
        <w:rPr>
          <w:rFonts w:hint="eastAsia"/>
        </w:rPr>
        <w:t xml:space="preserve">乙が本件建物について第1項の通常の必要費以外の費用を支出したときは、その償還については、民法第595条第2項において準用する同法第583条第2項の定めるところによる。</w:t>
      </w:r>
    </w:p>
    <w:p/>
    <w:p>
      <w:pPr>
        <w:pStyle w:val="Heading3"/>
      </w:pPr>
      <w:r>
        <w:rPr>
          <w:rFonts w:hint="eastAsia"/>
        </w:rPr>
        <w:t xml:space="preserve">第7条(用法の遵守)</w:t>
      </w:r>
    </w:p>
    <w:p>
      <w:pPr>
        <w:pStyle w:val="FirstParagraph"/>
      </w:pPr>
      <w:r>
        <w:rPr>
          <w:rFonts w:hint="eastAsia"/>
        </w:rPr>
        <w:t xml:space="preserve">乙は、本契約又は本件建物の性質によって定まった用法に従い、第4条において選択した目的の範囲内で、本件建物の使用及び収益をしなければならない。</w:t>
      </w:r>
    </w:p>
    <w:p/>
    <w:p>
      <w:pPr>
        <w:pStyle w:val="Heading3"/>
      </w:pPr>
      <w:r>
        <w:rPr>
          <w:rFonts w:hint="eastAsia"/>
        </w:rPr>
        <w:t xml:space="preserve">第8条(転貸及び権利譲渡の禁止)</w:t>
      </w:r>
    </w:p>
    <w:p>
      <w:pPr>
        <w:pStyle w:val="Compact"/>
        <w:numPr>
          <w:ilvl w:val="0"/>
          <w:numId w:val="2005"/>
        </w:numPr>
        <w:ind w:left="1080" w:hanging="360"/>
      </w:pPr>
      <w:r>
        <w:rPr>
          <w:rFonts w:hint="eastAsia"/>
        </w:rPr>
        <w:t xml:space="preserve">乙は、甲の書面(電磁的記録を含む。以下同じ。)による事前の承諾を得なければ、第三者に本件建物の使用又は収益をさせてはならない。</w:t>
      </w:r>
    </w:p>
    <w:p>
      <w:pPr>
        <w:pStyle w:val="Compact"/>
        <w:numPr>
          <w:ilvl w:val="0"/>
          <w:numId w:val="2005"/>
        </w:numPr>
        <w:ind w:left="1080" w:hanging="360"/>
      </w:pPr>
      <w:r>
        <w:rPr>
          <w:rFonts w:hint="eastAsia"/>
        </w:rPr>
        <w:t xml:space="preserve">乙は、甲の書面による事前の承諾を得なければ、本契約上の地位又は本契約に基づく権利を第三者に譲渡し、又は担保に供してはならない。</w:t>
      </w:r>
    </w:p>
    <w:p>
      <w:pPr>
        <w:pStyle w:val="Compact"/>
        <w:numPr>
          <w:ilvl w:val="0"/>
          <w:numId w:val="2005"/>
        </w:numPr>
        <w:ind w:left="1080" w:hanging="360"/>
      </w:pPr>
      <w:r>
        <w:rPr>
          <w:rFonts w:hint="eastAsia"/>
        </w:rPr>
        <w:t xml:space="preserve">乙が前2項に違反したときは、甲は、催告を要せず、直ちに本契約を解除することができる。</w:t>
      </w:r>
    </w:p>
    <w:p/>
    <w:p>
      <w:pPr>
        <w:pStyle w:val="Heading3"/>
      </w:pPr>
      <w:r>
        <w:rPr>
          <w:rFonts w:hint="eastAsia"/>
        </w:rPr>
        <w:t xml:space="preserve">第9条(増改築及び造作の設置)</w:t>
      </w:r>
    </w:p>
    <w:p>
      <w:pPr>
        <w:pStyle w:val="Compact"/>
        <w:numPr>
          <w:ilvl w:val="0"/>
          <w:numId w:val="2006"/>
        </w:numPr>
        <w:ind w:left="1080" w:hanging="360"/>
      </w:pPr>
      <w:r>
        <w:rPr>
          <w:rFonts w:hint="eastAsia"/>
        </w:rPr>
        <w:t xml:space="preserve">乙は、甲の書面による事前の承諾を得なければ、本件建物の増築、改築、模様替えその他の変更を行い、又は本件建物に造作、設備その他の物を附属させてはならない。</w:t>
      </w:r>
    </w:p>
    <w:p>
      <w:pPr>
        <w:pStyle w:val="Compact"/>
        <w:numPr>
          <w:ilvl w:val="0"/>
          <w:numId w:val="2006"/>
        </w:numPr>
        <w:ind w:left="1080" w:hanging="360"/>
      </w:pPr>
      <w:r>
        <w:rPr>
          <w:rFonts w:hint="eastAsia"/>
        </w:rPr>
        <w:t xml:space="preserve">前項の承諾を得て乙が本件建物に附属させた物の取扱いは、第15条の定めるところによる。</w:t>
      </w:r>
    </w:p>
    <w:p/>
    <w:p>
      <w:pPr>
        <w:pStyle w:val="Heading3"/>
      </w:pPr>
      <w:r>
        <w:rPr>
          <w:rFonts w:hint="eastAsia"/>
        </w:rPr>
        <w:t xml:space="preserve">第10条(損傷等の通知)</w:t>
      </w:r>
    </w:p>
    <w:p>
      <w:pPr>
        <w:pStyle w:val="FirstParagraph"/>
      </w:pPr>
      <w:r>
        <w:rPr>
          <w:rFonts w:hint="eastAsia"/>
        </w:rPr>
        <w:t xml:space="preserve">乙は、本件建物について損傷、故障その他の不具合が生じたことを知ったときは、遅滞なく、その内容を甲に通知しなければならない。</w:t>
      </w:r>
    </w:p>
    <w:p/>
    <w:p>
      <w:pPr>
        <w:pStyle w:val="Heading3"/>
      </w:pPr>
      <w:r>
        <w:rPr>
          <w:rFonts w:hint="eastAsia"/>
        </w:rPr>
        <w:t xml:space="preserve">第11条(本件建物の譲渡等)</w:t>
      </w:r>
    </w:p>
    <w:p>
      <w:pPr>
        <w:pStyle w:val="FirstParagraph"/>
      </w:pPr>
      <w:r>
        <w:rPr>
          <w:rFonts w:hint="eastAsia"/>
        </w:rPr>
        <w:t xml:space="preserve">甲は、本件建物を第三者に譲渡し、又は本件建物に担保権を設定しようとするときは、あらかじめその旨を乙に通知する。この場合において、甲及び乙は、本契約の取扱いについて第17条により協議する。</w:t>
      </w:r>
    </w:p>
    <w:p/>
    <w:p>
      <w:pPr>
        <w:pStyle w:val="Heading3"/>
      </w:pPr>
      <w:r>
        <w:rPr>
          <w:rFonts w:hint="eastAsia"/>
        </w:rPr>
        <w:t xml:space="preserve">第12条(解除)</w:t>
      </w:r>
    </w:p>
    <w:p>
      <w:pPr>
        <w:pStyle w:val="Compact"/>
        <w:numPr>
          <w:ilvl w:val="0"/>
          <w:numId w:val="2007"/>
        </w:numPr>
        <w:ind w:left="1080" w:hanging="360"/>
      </w:pPr>
      <w:r>
        <w:rPr>
          <w:rFonts w:hint="eastAsia"/>
        </w:rPr>
        <w:t xml:space="preserve">乙が第4条、第7条、第8条又は第9条に違反したときは、甲は、本契約を解除することができる。</w:t>
      </w:r>
    </w:p>
    <w:p>
      <w:pPr>
        <w:pStyle w:val="Compact"/>
        <w:numPr>
          <w:ilvl w:val="0"/>
          <w:numId w:val="2007"/>
        </w:numPr>
        <w:ind w:left="1080" w:hanging="360"/>
      </w:pPr>
      <w:r>
        <w:rPr>
          <w:rFonts w:hint="eastAsia"/>
        </w:rPr>
        <w:t xml:space="preserve">第5条第1項において期間を定めず、第4条において使用及び収益の目的を定めた場合において、乙がその目的に従い本件建物の使用及び収益をするのに足りる期間を経過したときは、甲は、本契約を解除することができる。</w:t>
      </w:r>
    </w:p>
    <w:p>
      <w:pPr>
        <w:pStyle w:val="Compact"/>
        <w:numPr>
          <w:ilvl w:val="0"/>
          <w:numId w:val="2007"/>
        </w:numPr>
        <w:ind w:left="1080" w:hanging="360"/>
      </w:pPr>
      <w:r>
        <w:rPr>
          <w:rFonts w:hint="eastAsia"/>
        </w:rPr>
        <w:t xml:space="preserve">第5条第1項において期間を定めず、かつ、第4条において使用及び収益の目的を定めなかったときは、甲は、いつでも本契約を解除することができる。</w:t>
      </w:r>
    </w:p>
    <w:p>
      <w:pPr>
        <w:pStyle w:val="Compact"/>
        <w:numPr>
          <w:ilvl w:val="0"/>
          <w:numId w:val="2007"/>
        </w:numPr>
        <w:ind w:left="1080" w:hanging="360"/>
      </w:pPr>
      <w:r>
        <w:rPr>
          <w:rFonts w:hint="eastAsia"/>
        </w:rPr>
        <w:t xml:space="preserve">乙は、いつでも本契約を解除することができる。</w:t>
      </w:r>
    </w:p>
    <w:p>
      <w:pPr>
        <w:pStyle w:val="Compact"/>
        <w:numPr>
          <w:ilvl w:val="0"/>
          <w:numId w:val="2007"/>
        </w:numPr>
        <w:ind w:left="1080" w:hanging="360"/>
      </w:pPr>
      <w:r>
        <w:rPr>
          <w:rFonts w:hint="eastAsia"/>
        </w:rPr>
        <w:t xml:space="preserve">第2項から第4項までによる解除の予告は、次のとおりとする。該当する□にチェックを付す。</w:t>
      </w:r>
    </w:p>
    <w:p>
      <w:pPr>
        <w:pStyle w:val="Compact"/>
        <w:numPr>
          <w:ilvl w:val="1"/>
          <w:numId w:val="2007"/>
        </w:numPr>
        <w:ind w:left="1440" w:hanging="360"/>
      </w:pPr>
      <w:r>
        <w:rPr>
          <w:rFonts w:hint="eastAsia"/>
        </w:rPr>
        <w:t xml:space="preserve">□ 解除しようとする当事者は、</w:t>
      </w:r>
      <w:r>
        <w:rPr>
          <w:highlight w:val="yellow"/>
        </w:rPr>
        <w:t xml:space="preserve">[予告する月数]</w:t>
      </w:r>
      <w:r>
        <w:rPr>
          <w:rFonts w:hint="eastAsia"/>
        </w:rPr>
        <w:t xml:space="preserve">か月前までに、書面により相手方に通知して解除する。</w:t>
      </w:r>
    </w:p>
    <w:p>
      <w:pPr>
        <w:pStyle w:val="Compact"/>
        <w:numPr>
          <w:ilvl w:val="1"/>
          <w:numId w:val="2007"/>
        </w:numPr>
        <w:ind w:left="1440" w:hanging="360"/>
      </w:pPr>
      <w:r>
        <w:rPr>
          <w:rFonts w:hint="eastAsia"/>
        </w:rPr>
        <w:t xml:space="preserve">□ 予告期間を定めない。</w:t>
      </w:r>
    </w:p>
    <w:p>
      <w:pPr>
        <w:pStyle w:val="Compact"/>
        <w:numPr>
          <w:ilvl w:val="0"/>
          <w:numId w:val="2007"/>
        </w:numPr>
        <w:ind w:left="1080" w:hanging="360"/>
      </w:pPr>
      <w:r>
        <w:rPr>
          <w:rFonts w:hint="eastAsia"/>
        </w:rPr>
        <w:t xml:space="preserve">第1項による解除については、前項の予告を要しない。</w:t>
      </w:r>
    </w:p>
    <w:p/>
    <w:p>
      <w:pPr>
        <w:pStyle w:val="Heading3"/>
      </w:pPr>
      <w:r>
        <w:rPr>
          <w:rFonts w:hint="eastAsia"/>
        </w:rPr>
        <w:t xml:space="preserve">第13条(借主の死亡による終了)</w:t>
      </w:r>
    </w:p>
    <w:p>
      <w:pPr>
        <w:pStyle w:val="Compact"/>
        <w:numPr>
          <w:ilvl w:val="0"/>
          <w:numId w:val="2008"/>
        </w:numPr>
        <w:ind w:left="1080" w:hanging="360"/>
      </w:pPr>
      <w:r>
        <w:rPr>
          <w:rFonts w:hint="eastAsia"/>
        </w:rPr>
        <w:t xml:space="preserve">本契約は、乙の死亡によって終了する。</w:t>
      </w:r>
    </w:p>
    <w:p>
      <w:pPr>
        <w:pStyle w:val="Compact"/>
        <w:numPr>
          <w:ilvl w:val="0"/>
          <w:numId w:val="2008"/>
        </w:numPr>
        <w:ind w:left="1080" w:hanging="360"/>
      </w:pPr>
      <w:r>
        <w:rPr>
          <w:rFonts w:hint="eastAsia"/>
        </w:rPr>
        <w:t xml:space="preserve">甲及び乙は、本契約に基づく乙の地位及び本件建物を使用収益する権利が乙の相続人に承継されないことを確認する。</w:t>
      </w:r>
    </w:p>
    <w:p/>
    <w:p>
      <w:pPr>
        <w:pStyle w:val="Heading3"/>
      </w:pPr>
      <w:r>
        <w:rPr>
          <w:rFonts w:hint="eastAsia"/>
        </w:rPr>
        <w:t xml:space="preserve">第14条(貸主に相続が生じた場合の取扱い)</w:t>
      </w:r>
    </w:p>
    <w:p>
      <w:pPr>
        <w:pStyle w:val="Compact"/>
        <w:numPr>
          <w:ilvl w:val="0"/>
          <w:numId w:val="2009"/>
        </w:numPr>
        <w:ind w:left="1080" w:hanging="360"/>
      </w:pPr>
      <w:r>
        <w:rPr>
          <w:rFonts w:hint="eastAsia"/>
        </w:rPr>
        <w:t xml:space="preserve">甲について相続が開始したときは、甲の相続人が本契約上の甲の地位を承継する。</w:t>
      </w:r>
    </w:p>
    <w:p>
      <w:pPr>
        <w:pStyle w:val="Compact"/>
        <w:numPr>
          <w:ilvl w:val="0"/>
          <w:numId w:val="2009"/>
        </w:numPr>
        <w:ind w:left="1080" w:hanging="360"/>
      </w:pPr>
      <w:r>
        <w:rPr>
          <w:rFonts w:hint="eastAsia"/>
        </w:rPr>
        <w:t xml:space="preserve">前項の場合において、乙は、甲の相続人に対し、本契約を存続させるか終了させるかについて、第17条による協議を申し入れることができる。</w:t>
      </w:r>
    </w:p>
    <w:p/>
    <w:p>
      <w:pPr>
        <w:pStyle w:val="Heading3"/>
      </w:pPr>
      <w:r>
        <w:rPr>
          <w:rFonts w:hint="eastAsia"/>
        </w:rPr>
        <w:t xml:space="preserve">第15条(明渡し、原状回復及び収去)</w:t>
      </w:r>
    </w:p>
    <w:p>
      <w:pPr>
        <w:pStyle w:val="Compact"/>
        <w:numPr>
          <w:ilvl w:val="0"/>
          <w:numId w:val="2010"/>
        </w:numPr>
        <w:ind w:left="1080" w:hanging="360"/>
      </w:pPr>
      <w:r>
        <w:rPr>
          <w:rFonts w:hint="eastAsia"/>
        </w:rPr>
        <w:t xml:space="preserve">本契約が終了したときは、乙は、終了の日から</w:t>
      </w:r>
      <w:r>
        <w:rPr>
          <w:highlight w:val="yellow"/>
        </w:rPr>
        <w:t xml:space="preserve">[明渡しまでの日数]</w:t>
      </w:r>
      <w:r>
        <w:rPr>
          <w:rFonts w:hint="eastAsia"/>
        </w:rPr>
        <w:t xml:space="preserve">日以内に、本件建物を甲に明け渡す。</w:t>
      </w:r>
    </w:p>
    <w:p>
      <w:pPr>
        <w:pStyle w:val="Compact"/>
        <w:numPr>
          <w:ilvl w:val="0"/>
          <w:numId w:val="2010"/>
        </w:numPr>
        <w:ind w:left="1080" w:hanging="360"/>
      </w:pPr>
      <w:r>
        <w:rPr>
          <w:rFonts w:hint="eastAsia"/>
        </w:rPr>
        <w:t xml:space="preserve">乙は、前項の明渡しに際し、本件建物を受け取った後にこれに附属させた物を収去する。ただし、本件建物から分離することができない物又は分離するのに過分の費用を要する物については、この限りでない。</w:t>
      </w:r>
    </w:p>
    <w:p>
      <w:pPr>
        <w:pStyle w:val="Compact"/>
        <w:numPr>
          <w:ilvl w:val="0"/>
          <w:numId w:val="2010"/>
        </w:numPr>
        <w:ind w:left="1080" w:hanging="360"/>
      </w:pPr>
      <w:r>
        <w:rPr>
          <w:rFonts w:hint="eastAsia"/>
        </w:rPr>
        <w:t xml:space="preserve">乙が本件建物を受け取った後にこれに生じた損傷について、乙が原状に復する範囲は、次のとおりとする。該当する□にチェックを付す。ただし、その損傷が乙の責めに帰することができない事由によるものであるときは、乙は原状に復する義務を負わない。</w:t>
      </w:r>
    </w:p>
    <w:p>
      <w:pPr>
        <w:pStyle w:val="Compact"/>
        <w:numPr>
          <w:ilvl w:val="1"/>
          <w:numId w:val="2010"/>
        </w:numPr>
        <w:ind w:left="1440" w:hanging="360"/>
      </w:pPr>
      <w:r>
        <w:rPr>
          <w:rFonts w:hint="eastAsia"/>
        </w:rPr>
        <w:t xml:space="preserve">□ 通常の使用及び収益によって生じた損耗並びに経年変化を除き、乙が原状に復する。</w:t>
      </w:r>
    </w:p>
    <w:p>
      <w:pPr>
        <w:pStyle w:val="Compact"/>
        <w:numPr>
          <w:ilvl w:val="1"/>
          <w:numId w:val="2010"/>
        </w:numPr>
        <w:ind w:left="1440" w:hanging="360"/>
      </w:pPr>
      <w:r>
        <w:rPr>
          <w:rFonts w:hint="eastAsia"/>
        </w:rPr>
        <w:t xml:space="preserve">□ 通常の使用及び収益によって生じた損耗及び経年変化を含め、乙が原状に復する。</w:t>
      </w:r>
    </w:p>
    <w:p/>
    <w:p>
      <w:pPr>
        <w:pStyle w:val="Heading3"/>
      </w:pPr>
      <w:r>
        <w:rPr>
          <w:rFonts w:hint="eastAsia"/>
        </w:rPr>
        <w:t xml:space="preserve">第16条(損害賠償及び費用の償還の請求期間)</w:t>
      </w:r>
    </w:p>
    <w:p>
      <w:pPr>
        <w:pStyle w:val="FirstParagraph"/>
      </w:pPr>
      <w:r>
        <w:rPr>
          <w:rFonts w:hint="eastAsia"/>
        </w:rPr>
        <w:t xml:space="preserve">契約の本旨に反する使用又は収益によって生じた損害の賠償及び乙が支出した費用の償還は、甲が本件建物の返還を受けた時から1年以内に請求しなければならない。</w:t>
      </w:r>
    </w:p>
    <w:p/>
    <w:p>
      <w:pPr>
        <w:pStyle w:val="Heading3"/>
      </w:pPr>
      <w:r>
        <w:rPr>
          <w:rFonts w:hint="eastAsia"/>
        </w:rPr>
        <w:t xml:space="preserve">第17条(協議)</w:t>
      </w:r>
    </w:p>
    <w:p>
      <w:pPr>
        <w:pStyle w:val="FirstParagraph"/>
      </w:pPr>
      <w:r>
        <w:rPr>
          <w:rFonts w:hint="eastAsia"/>
        </w:rPr>
        <w:t xml:space="preserve">本契約に定めのない事項又は本契約の各条項の解釈について疑義が生じた事項については、甲及び乙は、誠実に協議して解決する。</w:t>
      </w:r>
    </w:p>
    <w:p/>
    <w:p>
      <w:pPr>
        <w:pStyle w:val="Heading3"/>
      </w:pPr>
      <w:r>
        <w:rPr>
          <w:rFonts w:hint="eastAsia"/>
        </w:rPr>
        <w:t xml:space="preserve">第18条(合意管轄)</w:t>
      </w:r>
    </w:p>
    <w:p>
      <w:pPr>
        <w:pStyle w:val="FirstParagraph"/>
      </w:pPr>
      <w:r>
        <w:rPr>
          <w:rFonts w:hint="eastAsia"/>
        </w:rPr>
        <w:t xml:space="preserve">本契約に関して甲乙間に紛争が生じたときは、甲の住所地(甲が法人である場合は本店所在地)を管轄する地方裁判所を第一審の専属的合意管轄裁判所とする。</w:t>
      </w:r>
    </w:p>
    <w:p/>
    <w:p>
      <w:pPr>
        <w:pStyle w:val="BodyText"/>
      </w:pPr>
      <w:r>
        <w:rPr>
          <w:rFonts w:hint="eastAsia"/>
        </w:rPr>
        <w:t xml:space="preserve">本契約成立の証として本書2通を作成し、甲及び乙が記名押印又は電子署名を行い、各1通(電磁的記録により作成する場合は、甲及び乙が各自その電磁的記録)を保有する。</w:t>
      </w:r>
    </w:p>
    <w:p/>
    <w:p>
      <w:pPr>
        <w:pStyle w:val="BodyText"/>
      </w:pPr>
      <w:r>
        <w:rPr>
          <w:rFonts w:hint="eastAsia"/>
        </w:rPr>
        <w:t xml:space="preserve">締結日:</w:t>
      </w:r>
      <w:r>
        <w:rPr>
          <w:highlight w:val="yellow"/>
        </w:rPr>
        <w:t xml:space="preserve">[YYYY年MM月DD日]</w:t>
      </w:r>
    </w:p>
    <w:p/>
    <w:p>
      <w:pPr>
        <w:pStyle w:val="BodyText"/>
      </w:pPr>
      <w:r>
        <w:rPr>
          <w:rFonts w:hint="eastAsia"/>
        </w:rPr>
        <w:t xml:space="preserve">甲(貸主)</w:t>
      </w:r>
    </w:p>
    <w:p>
      <w:pPr>
        <w:pStyle w:val="BodyText"/>
      </w:pPr>
      <w:r>
        <w:rPr>
          <w:rFonts w:hint="eastAsia"/>
        </w:rPr>
        <w:t xml:space="preserve">住所:</w:t>
      </w:r>
      <w:r>
        <w:rPr>
          <w:highlight w:val="yellow"/>
        </w:rPr>
        <w:t xml:space="preserve">[甲の住所]</w:t>
      </w:r>
    </w:p>
    <w:p>
      <w:pPr>
        <w:pStyle w:val="BodyText"/>
      </w:pPr>
      <w:r>
        <w:rPr>
          <w:rFonts w:hint="eastAsia"/>
        </w:rPr>
        <w:t xml:space="preserve">氏名または名称:</w:t>
      </w:r>
      <w:r>
        <w:rPr>
          <w:highlight w:val="yellow"/>
        </w:rPr>
        <w:t xml:space="preserve">[甲の氏名または名称]</w:t>
      </w:r>
    </w:p>
    <w:p>
      <w:pPr>
        <w:pStyle w:val="BodyText"/>
      </w:pPr>
      <w:r>
        <w:rPr>
          <w:rFonts w:hint="eastAsia"/>
        </w:rPr>
        <w:t xml:space="preserve">(記名押印又は電子署名)</w:t>
      </w:r>
    </w:p>
    <w:p/>
    <w:p>
      <w:pPr>
        <w:pStyle w:val="BodyText"/>
      </w:pPr>
      <w:r>
        <w:rPr>
          <w:rFonts w:hint="eastAsia"/>
        </w:rPr>
        <w:t xml:space="preserve">乙(借主)</w:t>
      </w:r>
    </w:p>
    <w:p>
      <w:pPr>
        <w:pStyle w:val="BodyText"/>
      </w:pPr>
      <w:r>
        <w:rPr>
          <w:rFonts w:hint="eastAsia"/>
        </w:rPr>
        <w:t xml:space="preserve">住所:</w:t>
      </w:r>
      <w:r>
        <w:rPr>
          <w:highlight w:val="yellow"/>
        </w:rPr>
        <w:t xml:space="preserve">[乙の住所]</w:t>
      </w:r>
    </w:p>
    <w:p>
      <w:pPr>
        <w:pStyle w:val="BodyText"/>
      </w:pPr>
      <w:r>
        <w:rPr>
          <w:rFonts w:hint="eastAsia"/>
        </w:rPr>
        <w:t xml:space="preserve">氏名または名称:</w:t>
      </w:r>
      <w:r>
        <w:rPr>
          <w:highlight w:val="yellow"/>
        </w:rPr>
        <w:t xml:space="preserve">[乙の氏名または名称]</w:t>
      </w:r>
    </w:p>
    <w:p>
      <w:pPr>
        <w:pStyle w:val="BodyText"/>
      </w:pPr>
      <w:r>
        <w:rPr>
          <w:rFonts w:hint="eastAsia"/>
        </w:rPr>
        <w:t xml:space="preserve">(記名押印又は電子署名)</w:t>
      </w:r>
    </w:p>
    <w:p/>
    <w:p>
      <w:pPr>
        <w:pStyle w:val="Heading2"/>
      </w:pPr>
      <w:r>
        <w:rPr>
          <w:rFonts w:hint="eastAsia"/>
        </w:rPr>
        <w:t xml:space="preserve">本テンプレートについて</w:t>
      </w:r>
    </w:p>
    <w:p>
      <w:pPr>
        <w:pStyle w:val="FirstParagraph"/>
      </w:pPr>
      <w:r>
        <w:rPr>
          <w:rFonts w:hint="eastAsia"/>
        </w:rPr>
        <w:t xml:space="preserve">・空欄は、第1条(本件建物の表示と使用できる範囲)→第4条(使用目的)→第5条(期間)→第6条第2項(固定資産税及び都市計画税の取扱い)→第12条第5項(解除の予告)→第15条第3項(原状回復の範囲)の順に決めると、前の条で決めたことがそのまま次の条の判断材料になります。</w:t>
      </w:r>
    </w:p>
    <w:p>
      <w:pPr>
        <w:pStyle w:val="BodyText"/>
      </w:pPr>
      <w:r>
        <w:rPr>
          <w:rFonts w:hint="eastAsia"/>
        </w:rPr>
        <w:t xml:space="preserve">・第4条で「使用及び収益の目的を定めない」を選び、かつ第5条第1項で「期間を定めない」を選んだ場合、甲は民法第598条第2項によりいつでも本契約を解除することができます(第5条第2項・第12条第3項)。いつまで貸すかを決めておきたいときは、期間か目的のどちらかを必ず選んでください。</w:t>
      </w:r>
    </w:p>
    <w:p>
      <w:pPr>
        <w:pStyle w:val="BodyText"/>
      </w:pPr>
      <w:r>
        <w:rPr>
          <w:rFonts w:hint="eastAsia"/>
        </w:rPr>
        <w:t xml:space="preserve">・本テンプレートは、対価を取らずに貸すこと(民法第593条)を前提としています。賃料・使用料その他の対価を定めると民法第601条の賃貸借となり、借地借家法の適用の有無を含めて別の検討が必要になります。対価を受け取る場合は、賃貸借契約書をご利用ください。</w:t>
      </w:r>
    </w:p>
    <w:p>
      <w:pPr>
        <w:pStyle w:val="BodyText"/>
      </w:pPr>
      <w:r>
        <w:rPr>
          <w:rFonts w:hint="eastAsia"/>
        </w:rPr>
        <w:t xml:space="preserve">・第3条第2項の記録(別紙又は写真)は、第15条第3項で原状回復の範囲を判断するときの基準になります。引渡しの当日に撮っておいてください。</w:t>
      </w:r>
    </w:p>
    <w:p>
      <w:pPr>
        <w:pStyle w:val="BodyText"/>
      </w:pPr>
      <w:r>
        <w:rPr>
          <w:rFonts w:hint="eastAsia"/>
        </w:rPr>
        <w:t xml:space="preserve">・第6条第2項で乙に固定資産税及び都市計画税相当額を負担させるかどうかは、税務上の取扱いにも関わります。金額の設定を含め、判断に迷う場合は税理士にご確認ください。</w:t>
      </w:r>
    </w:p>
    <w:p/>
    <w:p>
      <w:pPr>
        <w:pStyle w:val="Heading2"/>
      </w:pPr>
      <w:r>
        <w:rPr>
          <w:rFonts w:hint="eastAsia"/>
        </w:rPr>
        <w:t xml:space="preserve">印紙税について</w:t>
      </w:r>
    </w:p>
    <w:p>
      <w:pPr>
        <w:pStyle w:val="FirstParagraph"/>
      </w:pPr>
      <w:r>
        <w:rPr>
          <w:rFonts w:hint="eastAsia"/>
        </w:rPr>
        <w:t xml:space="preserve">・本契約書のように金銭の受領に関する定めを置かない建物の使用貸借契約書は、印紙税の課税文書に当たりません(不課税)。第1号の2文書として掲げられているのは「地上権又は土地の賃借権の設定又は譲渡に関する契約書」で、建物は掲げられていません。国税庁の印紙税法基本通達(別表第一 第1号の2文書)も、土地の使用貸借権の設定に関する契約書について「使用貸借に関する契約書に該当するのであるから課税文書に当たらない」としています。課税物件表に掲げられたうえで課税されない「非課税」とは区別されます。</w:t>
      </w:r>
    </w:p>
    <w:p>
      <w:pPr>
        <w:pStyle w:val="BodyText"/>
      </w:pPr>
      <w:r>
        <w:rPr>
          <w:rFonts w:hint="eastAsia"/>
        </w:rPr>
        <w:t xml:space="preserve">・ただし、次の2つを書き足すと、課税文書として取り扱われることがあります。</w:t>
      </w:r>
    </w:p>
    <w:p>
      <w:pPr>
        <w:pStyle w:val="BodyText"/>
      </w:pPr>
      <w:r>
        <w:rPr>
          <w:rFonts w:hint="eastAsia"/>
        </w:rPr>
        <w:t xml:space="preserve">・(1)金銭を受領した旨の文言を書き加えた場合。国税庁は、契約書の中に金銭の受領文言等の記載のあるものは金銭の受取書(第17号文書)に該当するとしています。</w:t>
      </w:r>
    </w:p>
    <w:p>
      <w:pPr>
        <w:pStyle w:val="BodyText"/>
      </w:pPr>
      <w:r>
        <w:rPr>
          <w:rFonts w:hint="eastAsia"/>
        </w:rPr>
        <w:t xml:space="preserve">・(2)保証金等として金銭を受領し、契約期間に関係なく一定期間据置き後に一括返還又は分割返還することを約する条項を置いた場合。印紙税法基本通達は、貸ビル業者等がビル等の賃貸借契約又は使用貸借契約をする際等に、借受人等から建設協力金、保証金等として一定の金銭を受領してこのような返還を約する契約書を、第1号の3文書(消費貸借に関する契約書)として取り扱うとしています。</w:t>
      </w:r>
    </w:p>
    <w:p>
      <w:pPr>
        <w:pStyle w:val="BodyText"/>
      </w:pPr>
      <w:r>
        <w:rPr>
          <w:rFonts w:hint="eastAsia"/>
        </w:rPr>
        <w:t xml:space="preserve">・本テンプレートに保証金・敷金の条項と金銭の受領文言を置いていないのは、このためです。金銭の授受があるときは、本契約書とは別の書面で処理してください。</w:t>
      </w:r>
    </w:p>
    <w:p>
      <w:pPr>
        <w:pStyle w:val="BodyText"/>
      </w:pPr>
      <w:r>
        <w:rPr>
          <w:rFonts w:hint="eastAsia"/>
        </w:rPr>
        <w:t xml:space="preserve">・印紙税の取扱いは最新の情報を国税庁のホームページでご確認ください。</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11"/>
    <w:lvlOverride w:ilvl="0">
      <w:startOverride w:val="1"/>
    </w:lvlOverride>
    <w:lvlOverride w:ilvl="1">
      <w:startOverride w:val="1"/>
    </w:lvlOverride>
  </w:num>
  <w:num w:numId="2002">
    <w:abstractNumId w:val="99411"/>
    <w:lvlOverride w:ilvl="0">
      <w:startOverride w:val="1"/>
    </w:lvlOverride>
    <w:lvlOverride w:ilvl="1">
      <w:startOverride w:val="1"/>
    </w:lvlOverride>
  </w:num>
  <w:num w:numId="2003">
    <w:abstractNumId w:val="99411"/>
    <w:lvlOverride w:ilvl="0">
      <w:startOverride w:val="1"/>
    </w:lvlOverride>
    <w:lvlOverride w:ilvl="1">
      <w:startOverride w:val="1"/>
    </w:lvlOverride>
  </w:num>
  <w:num w:numId="2004">
    <w:abstractNumId w:val="99411"/>
    <w:lvlOverride w:ilvl="0">
      <w:startOverride w:val="1"/>
    </w:lvlOverride>
    <w:lvlOverride w:ilvl="1">
      <w:startOverride w:val="1"/>
    </w:lvlOverride>
  </w:num>
  <w:num w:numId="2005">
    <w:abstractNumId w:val="99411"/>
    <w:lvlOverride w:ilvl="0">
      <w:startOverride w:val="1"/>
    </w:lvlOverride>
    <w:lvlOverride w:ilvl="1">
      <w:startOverride w:val="1"/>
    </w:lvlOverride>
  </w:num>
  <w:num w:numId="2006">
    <w:abstractNumId w:val="99411"/>
    <w:lvlOverride w:ilvl="0">
      <w:startOverride w:val="1"/>
    </w:lvlOverride>
    <w:lvlOverride w:ilvl="1">
      <w:startOverride w:val="1"/>
    </w:lvlOverride>
  </w:num>
  <w:num w:numId="2007">
    <w:abstractNumId w:val="99411"/>
    <w:lvlOverride w:ilvl="0">
      <w:startOverride w:val="1"/>
    </w:lvlOverride>
    <w:lvlOverride w:ilvl="1">
      <w:startOverride w:val="1"/>
    </w:lvlOverride>
  </w:num>
  <w:num w:numId="2008">
    <w:abstractNumId w:val="99411"/>
    <w:lvlOverride w:ilvl="0">
      <w:startOverride w:val="1"/>
    </w:lvlOverride>
    <w:lvlOverride w:ilvl="1">
      <w:startOverride w:val="1"/>
    </w:lvlOverride>
  </w:num>
  <w:num w:numId="2009">
    <w:abstractNumId w:val="99411"/>
    <w:lvlOverride w:ilvl="0">
      <w:startOverride w:val="1"/>
    </w:lvlOverride>
    <w:lvlOverride w:ilvl="1">
      <w:startOverride w:val="1"/>
    </w:lvlOverride>
  </w:num>
  <w:num w:numId="2010">
    <w:abstractNumId w:val="9941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