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8" w:name="取引基本契約書"/>
    <w:p>
      <w:pPr>
        <w:pStyle w:val="Heading1"/>
      </w:pPr>
      <w:r>
        <w:rPr>
          <w:rFonts w:hint="eastAsia"/>
        </w:rPr>
        <w:t xml:space="preserve">取引基本契約書</w:t>
      </w:r>
    </w:p>
    <w:p>
      <w:pPr>
        <w:pStyle w:val="BlockText"/>
      </w:pPr>
      <w:r>
        <w:rPr>
          <w:rFonts w:hint="eastAsia"/>
        </w:rPr>
        <w:t xml:space="preserve">※本テンプレートは弁護士監修ですが、個別案件に応じた修正が必要です。重要な契約は弁護士にご相談ください。</w:t>
      </w:r>
      <w:r>
        <w:t xml:space="preserve"> </w:t>
      </w:r>
      <w:r>
        <w:rPr>
          <w:rFonts w:hint="eastAsia"/>
        </w:rPr>
        <w:t xml:space="preserve">※本テンプレートはBtoB継続的取引(売買・業務委託・請負を包括)の標準的な雛形です。取引類型(売買中心/業務委託中心/請負中心)に応じて、関連条項のウェイトを調整してください。</w:t>
      </w:r>
      <w:r>
        <w:t xml:space="preserve"> </w:t>
      </w:r>
      <w:r>
        <w:rPr>
          <w:rFonts w:hint="eastAsia"/>
        </w:rPr>
        <w:t xml:space="preserve">※2020年4月施行の改正民法(契約不適合責任)、2024年11月施行のフリーランス新法等の最新法令に対応しています。</w:t>
      </w:r>
    </w:p>
    <w:p>
      <w:r>
        <w:pict>
          <v:rect style="width:0;height:1.5pt" o:hralign="center" o:hrstd="t" o:hr="t"/>
        </w:pict>
      </w:r>
    </w:p>
    <w:bookmarkStart w:id="38" w:name="取引基本契約書-1"/>
    <w:p>
      <w:pPr>
        <w:pStyle w:val="Heading2"/>
      </w:pPr>
      <w:r>
        <w:rPr>
          <w:rFonts w:hint="eastAsia"/>
        </w:rPr>
        <w:t xml:space="preserve">取引基本契約書</w:t>
      </w:r>
    </w:p>
    <w:p>
      <w:pPr>
        <w:pStyle w:val="FirstParagraph"/>
      </w:pPr>
      <w:hyperlink r:id="rId9">
        <w:r>
          <w:rPr>
            <w:rStyle w:val="Hyperlink"/>
            <w:rFonts w:hint="eastAsia"/>
          </w:rPr>
          <w:t xml:space="preserve">甲の正式名称</w:t>
        </w:r>
      </w:hyperlink>
      <w:r>
        <w:t xml:space="preserve">と</w:t>
      </w:r>
      <w:hyperlink r:id="rId10">
        <w:r>
          <w:rPr>
            <w:rStyle w:val="Hyperlink"/>
            <w:rFonts w:hint="eastAsia"/>
          </w:rPr>
          <w:t xml:space="preserve">乙の正式名称</w:t>
        </w:r>
      </w:hyperlink>
      <w:r>
        <w:rPr>
          <w:rFonts w:hint="eastAsia"/>
        </w:rPr>
        <w:t xml:space="preserve">とは、甲乙間の継続的取引に関する基本的な事項を定めるため、以下のとおり取引基本契約(以下「本契約」という。)を締結する。</w:t>
      </w:r>
    </w:p>
    <w:p>
      <w:r>
        <w:pict>
          <v:rect style="width:0;height:1.5pt" o:hralign="center" o:hrstd="t" o:hr="t"/>
        </w:pict>
      </w:r>
    </w:p>
    <w:bookmarkStart w:id="11" w:name="第1条目的"/>
    <w:p>
      <w:pPr>
        <w:pStyle w:val="Heading3"/>
      </w:pPr>
      <w:r>
        <w:rPr>
          <w:rFonts w:hint="eastAsia"/>
        </w:rPr>
        <w:t xml:space="preserve">第1条(目的)</w:t>
      </w:r>
    </w:p>
    <w:p>
      <w:pPr>
        <w:pStyle w:val="FirstParagraph"/>
      </w:pPr>
      <w:r>
        <w:rPr>
          <w:rFonts w:hint="eastAsia"/>
        </w:rPr>
        <w:t xml:space="preserve">本契約は、甲乙間における継続的な[取引内容(例:商品の売買、業務の委託、製品の製造請負等)]に関する取引(以下「本取引」という。)について、その基本的な事項を定めることを目的とする。</w:t>
      </w:r>
    </w:p>
    <w:p>
      <w:r>
        <w:pict>
          <v:rect style="width:0;height:1.5pt" o:hralign="center" o:hrstd="t" o:hr="t"/>
        </w:pict>
      </w:r>
    </w:p>
    <w:bookmarkEnd w:id="11"/>
    <w:bookmarkStart w:id="12" w:name="第2条定義"/>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1"/>
        </w:numPr>
      </w:pPr>
      <w:r>
        <w:rPr>
          <w:rFonts w:hint="eastAsia"/>
        </w:rPr>
        <w:t xml:space="preserve">「個別契約」とは、本契約第3条に定める手続により成立する、本取引に関する個別の契約をいう。</w:t>
      </w:r>
    </w:p>
    <w:p>
      <w:pPr>
        <w:pStyle w:val="Compact"/>
        <w:numPr>
          <w:ilvl w:val="0"/>
          <w:numId w:val="1001"/>
        </w:numPr>
      </w:pPr>
      <w:r>
        <w:rPr>
          <w:rFonts w:hint="eastAsia"/>
        </w:rPr>
        <w:t xml:space="preserve">「対象物」とは、本取引の対象となる商品、サービス、業務、成果物等をいう。</w:t>
      </w:r>
    </w:p>
    <w:p>
      <w:pPr>
        <w:pStyle w:val="Compact"/>
        <w:numPr>
          <w:ilvl w:val="0"/>
          <w:numId w:val="1001"/>
        </w:numPr>
      </w:pPr>
      <w:r>
        <w:rPr>
          <w:rFonts w:hint="eastAsia"/>
        </w:rPr>
        <w:t xml:space="preserve">「成果物」とは、本取引の遂行により乙が作成し、甲に引き渡すべき一切の物又は電磁的記録をいう(成果物を伴う取引の場合)。</w:t>
      </w:r>
    </w:p>
    <w:p>
      <w:pPr>
        <w:pStyle w:val="Compact"/>
        <w:numPr>
          <w:ilvl w:val="0"/>
          <w:numId w:val="1001"/>
        </w:numPr>
      </w:pPr>
      <w:r>
        <w:rPr>
          <w:rFonts w:hint="eastAsia"/>
        </w:rPr>
        <w:t xml:space="preserve">「秘密情報」とは、第17条に定める情報をいう。</w:t>
      </w:r>
    </w:p>
    <w:p>
      <w:pPr>
        <w:pStyle w:val="Compact"/>
        <w:numPr>
          <w:ilvl w:val="0"/>
          <w:numId w:val="1001"/>
        </w:numPr>
      </w:pPr>
      <w:r>
        <w:rPr>
          <w:rFonts w:hint="eastAsia"/>
        </w:rPr>
        <w:t xml:space="preserve">「個別契約条件」とは、個別契約において定める数量、納期、価格、納入場所等の取引条件をいう。</w:t>
      </w:r>
    </w:p>
    <w:p>
      <w:r>
        <w:pict>
          <v:rect style="width:0;height:1.5pt" o:hralign="center" o:hrstd="t" o:hr="t"/>
        </w:pict>
      </w:r>
    </w:p>
    <w:bookmarkEnd w:id="12"/>
    <w:bookmarkStart w:id="13" w:name="第3条個別契約"/>
    <w:p>
      <w:pPr>
        <w:pStyle w:val="Heading3"/>
      </w:pPr>
      <w:r>
        <w:rPr>
          <w:rFonts w:hint="eastAsia"/>
        </w:rPr>
        <w:t xml:space="preserve">第3条(個別契約)</w:t>
      </w:r>
    </w:p>
    <w:p>
      <w:pPr>
        <w:pStyle w:val="Compact"/>
        <w:numPr>
          <w:ilvl w:val="0"/>
          <w:numId w:val="1002"/>
        </w:numPr>
      </w:pPr>
      <w:r>
        <w:rPr>
          <w:rFonts w:hint="eastAsia"/>
        </w:rPr>
        <w:t xml:space="preserve">本取引の具体的な内容(数量、納期、価格、納入場所等)は、甲乙間で締結する個別契約により定める。</w:t>
      </w:r>
    </w:p>
    <w:p>
      <w:pPr>
        <w:pStyle w:val="Compact"/>
        <w:numPr>
          <w:ilvl w:val="0"/>
          <w:numId w:val="1002"/>
        </w:numPr>
      </w:pPr>
      <w:r>
        <w:rPr>
          <w:rFonts w:hint="eastAsia"/>
        </w:rPr>
        <w:t xml:space="preserve">個別契約は、以下のいずれかにより成立する。</w:t>
      </w:r>
    </w:p>
    <w:p>
      <w:pPr>
        <w:pStyle w:val="Compact"/>
        <w:numPr>
          <w:ilvl w:val="1"/>
          <w:numId w:val="1003"/>
        </w:numPr>
      </w:pPr>
      <w:r>
        <w:rPr>
          <w:rFonts w:hint="eastAsia"/>
        </w:rPr>
        <w:t xml:space="preserve">甲が乙に発行した注文書(電磁的方法による発注を含む。以下同じ。)に対し、乙が書面又は電磁的方法による注文請書を発行したとき</w:t>
      </w:r>
    </w:p>
    <w:p>
      <w:pPr>
        <w:pStyle w:val="Compact"/>
        <w:numPr>
          <w:ilvl w:val="1"/>
          <w:numId w:val="1003"/>
        </w:numPr>
      </w:pPr>
      <w:r>
        <w:rPr>
          <w:rFonts w:hint="eastAsia"/>
        </w:rPr>
        <w:t xml:space="preserve">甲の注文書受領後[5]営業日以内に、乙が異議を述べないとき</w:t>
      </w:r>
    </w:p>
    <w:p>
      <w:pPr>
        <w:pStyle w:val="Compact"/>
        <w:numPr>
          <w:ilvl w:val="0"/>
          <w:numId w:val="1002"/>
        </w:numPr>
      </w:pPr>
      <w:r>
        <w:rPr>
          <w:rFonts w:hint="eastAsia"/>
        </w:rPr>
        <w:t xml:space="preserve">本契約と個別契約の内容に齟齬がある場合は、本契約の規定が優先する。ただし、個別契約において明示的に「個別契約の規定が優先する」旨を定めた事項については、個別契約の規定が優先する。</w:t>
      </w:r>
    </w:p>
    <w:p>
      <w:pPr>
        <w:pStyle w:val="Compact"/>
        <w:numPr>
          <w:ilvl w:val="0"/>
          <w:numId w:val="1002"/>
        </w:numPr>
      </w:pPr>
      <w:r>
        <w:rPr>
          <w:rFonts w:hint="eastAsia"/>
        </w:rPr>
        <w:t xml:space="preserve">個別契約の内容は、本契約の各条項に従って解釈・適用される。</w:t>
      </w:r>
    </w:p>
    <w:p>
      <w:r>
        <w:pict>
          <v:rect style="width:0;height:1.5pt" o:hralign="center" o:hrstd="t" o:hr="t"/>
        </w:pict>
      </w:r>
    </w:p>
    <w:bookmarkEnd w:id="13"/>
    <w:bookmarkStart w:id="14" w:name="第4条契約期間"/>
    <w:p>
      <w:pPr>
        <w:pStyle w:val="Heading3"/>
      </w:pPr>
      <w:r>
        <w:rPr>
          <w:rFonts w:hint="eastAsia"/>
        </w:rPr>
        <w:t xml:space="preserve">第4条(契約期間)</w:t>
      </w:r>
    </w:p>
    <w:p>
      <w:pPr>
        <w:pStyle w:val="Compact"/>
        <w:numPr>
          <w:ilvl w:val="0"/>
          <w:numId w:val="1004"/>
        </w:numPr>
      </w:pPr>
      <w:r>
        <w:rPr>
          <w:rFonts w:hint="eastAsia"/>
        </w:rPr>
        <w:t xml:space="preserve">本契約の有効期間は、[YYYY年MM月DD日]から[YYYY年MM月DD日]までの[1年間]とする。</w:t>
      </w:r>
    </w:p>
    <w:p>
      <w:pPr>
        <w:pStyle w:val="Compact"/>
        <w:numPr>
          <w:ilvl w:val="0"/>
          <w:numId w:val="1004"/>
        </w:numPr>
      </w:pPr>
      <w:r>
        <w:rPr>
          <w:rFonts w:hint="eastAsia"/>
        </w:rPr>
        <w:t xml:space="preserve">契約期間満了の[3]か月前までに、甲乙いずれからも書面又は電磁的方法による契約終了の申し出がないときは、本契約はさらに同一条件で[1年間]自動更新されるものとし、以後も同様とする。</w:t>
      </w:r>
    </w:p>
    <w:p>
      <w:pPr>
        <w:pStyle w:val="Compact"/>
        <w:numPr>
          <w:ilvl w:val="0"/>
          <w:numId w:val="1004"/>
        </w:numPr>
      </w:pPr>
      <w:r>
        <w:rPr>
          <w:rFonts w:hint="eastAsia"/>
        </w:rPr>
        <w:t xml:space="preserve">本契約の期間(更新後の期間を通算する。)が6か月以上にわたり、かつ乙がフリーランス新法上の特定受託事業者に該当し、甲が同法上の特定業務委託事業者に該当する場合、甲が本契約を解除しようとするときは、解除の日の30日前までに書面又は電磁的方法により乙に対し予告するものとする(同法第16条に基づく)。</w:t>
      </w:r>
    </w:p>
    <w:p>
      <w:r>
        <w:pict>
          <v:rect style="width:0;height:1.5pt" o:hralign="center" o:hrstd="t" o:hr="t"/>
        </w:pict>
      </w:r>
    </w:p>
    <w:bookmarkEnd w:id="14"/>
    <w:bookmarkStart w:id="15" w:name="第5条注文受注"/>
    <w:p>
      <w:pPr>
        <w:pStyle w:val="Heading3"/>
      </w:pPr>
      <w:r>
        <w:rPr>
          <w:rFonts w:hint="eastAsia"/>
        </w:rPr>
        <w:t xml:space="preserve">第5条(注文・受注)</w:t>
      </w:r>
    </w:p>
    <w:p>
      <w:pPr>
        <w:pStyle w:val="Compact"/>
        <w:numPr>
          <w:ilvl w:val="0"/>
          <w:numId w:val="1005"/>
        </w:numPr>
      </w:pPr>
      <w:r>
        <w:rPr>
          <w:rFonts w:hint="eastAsia"/>
        </w:rPr>
        <w:t xml:space="preserve">甲は乙に対し、本取引に関する注文を行う場合、以下の事項を記載した注文書を書面又は電磁的方法により発行する。</w:t>
      </w:r>
    </w:p>
    <w:p>
      <w:pPr>
        <w:pStyle w:val="Compact"/>
        <w:numPr>
          <w:ilvl w:val="1"/>
          <w:numId w:val="1006"/>
        </w:numPr>
      </w:pPr>
      <w:r>
        <w:rPr>
          <w:rFonts w:hint="eastAsia"/>
        </w:rPr>
        <w:t xml:space="preserve">対象物の品名、仕様、数量</w:t>
      </w:r>
    </w:p>
    <w:p>
      <w:pPr>
        <w:pStyle w:val="Compact"/>
        <w:numPr>
          <w:ilvl w:val="1"/>
          <w:numId w:val="1006"/>
        </w:numPr>
      </w:pPr>
      <w:r>
        <w:rPr>
          <w:rFonts w:hint="eastAsia"/>
        </w:rPr>
        <w:t xml:space="preserve">単価及び合計金額</w:t>
      </w:r>
    </w:p>
    <w:p>
      <w:pPr>
        <w:pStyle w:val="Compact"/>
        <w:numPr>
          <w:ilvl w:val="1"/>
          <w:numId w:val="1006"/>
        </w:numPr>
      </w:pPr>
      <w:r>
        <w:rPr>
          <w:rFonts w:hint="eastAsia"/>
        </w:rPr>
        <w:t xml:space="preserve">納期及び納入場所</w:t>
      </w:r>
    </w:p>
    <w:p>
      <w:pPr>
        <w:pStyle w:val="Compact"/>
        <w:numPr>
          <w:ilvl w:val="1"/>
          <w:numId w:val="1006"/>
        </w:numPr>
      </w:pPr>
      <w:r>
        <w:rPr>
          <w:rFonts w:hint="eastAsia"/>
        </w:rPr>
        <w:t xml:space="preserve">支払条件</w:t>
      </w:r>
    </w:p>
    <w:p>
      <w:pPr>
        <w:pStyle w:val="Compact"/>
        <w:numPr>
          <w:ilvl w:val="1"/>
          <w:numId w:val="1006"/>
        </w:numPr>
      </w:pPr>
      <w:r>
        <w:rPr>
          <w:rFonts w:hint="eastAsia"/>
        </w:rPr>
        <w:t xml:space="preserve">その他必要な事項</w:t>
      </w:r>
    </w:p>
    <w:p>
      <w:pPr>
        <w:pStyle w:val="Compact"/>
        <w:numPr>
          <w:ilvl w:val="0"/>
          <w:numId w:val="1005"/>
        </w:numPr>
      </w:pPr>
      <w:r>
        <w:rPr>
          <w:rFonts w:hint="eastAsia"/>
        </w:rPr>
        <w:t xml:space="preserve">乙は、甲から注文書を受領した日から[5]営業日以内に、書面又は電磁的方法により注文請書を発行する。</w:t>
      </w:r>
    </w:p>
    <w:p>
      <w:pPr>
        <w:pStyle w:val="Compact"/>
        <w:numPr>
          <w:ilvl w:val="0"/>
          <w:numId w:val="1005"/>
        </w:numPr>
      </w:pPr>
      <w:r>
        <w:rPr>
          <w:rFonts w:hint="eastAsia"/>
        </w:rPr>
        <w:t xml:space="preserve">乙が前項の期間内に異議を述べないときは、注文の内容について承諾したものとみなし、当該注文に係る個別契約が成立する。</w:t>
      </w:r>
    </w:p>
    <w:p>
      <w:r>
        <w:pict>
          <v:rect style="width:0;height:1.5pt" o:hralign="center" o:hrstd="t" o:hr="t"/>
        </w:pict>
      </w:r>
    </w:p>
    <w:bookmarkEnd w:id="15"/>
    <w:bookmarkStart w:id="16" w:name="第6条納入引渡し"/>
    <w:p>
      <w:pPr>
        <w:pStyle w:val="Heading3"/>
      </w:pPr>
      <w:r>
        <w:rPr>
          <w:rFonts w:hint="eastAsia"/>
        </w:rPr>
        <w:t xml:space="preserve">第6条(納入・引渡し)</w:t>
      </w:r>
    </w:p>
    <w:p>
      <w:pPr>
        <w:pStyle w:val="Compact"/>
        <w:numPr>
          <w:ilvl w:val="0"/>
          <w:numId w:val="1007"/>
        </w:numPr>
      </w:pPr>
      <w:r>
        <w:rPr>
          <w:rFonts w:hint="eastAsia"/>
        </w:rPr>
        <w:t xml:space="preserve">乙は、個別契約に定める納期までに、対象物を個別契約に定める納入場所に納入する。</w:t>
      </w:r>
    </w:p>
    <w:p>
      <w:pPr>
        <w:pStyle w:val="Compact"/>
        <w:numPr>
          <w:ilvl w:val="0"/>
          <w:numId w:val="1007"/>
        </w:numPr>
      </w:pPr>
      <w:r>
        <w:rPr>
          <w:rFonts w:hint="eastAsia"/>
        </w:rPr>
        <w:t xml:space="preserve">納入に要する費用は、特段の合意がない限り乙の負担とする。</w:t>
      </w:r>
    </w:p>
    <w:p>
      <w:pPr>
        <w:pStyle w:val="Compact"/>
        <w:numPr>
          <w:ilvl w:val="0"/>
          <w:numId w:val="1007"/>
        </w:numPr>
      </w:pPr>
      <w:r>
        <w:rPr>
          <w:rFonts w:hint="eastAsia"/>
        </w:rPr>
        <w:t xml:space="preserve">対象物の引渡しは、第7条に定める検収を完了した時に行われたものとする。</w:t>
      </w:r>
    </w:p>
    <w:p>
      <w:pPr>
        <w:pStyle w:val="Compact"/>
        <w:numPr>
          <w:ilvl w:val="0"/>
          <w:numId w:val="1007"/>
        </w:numPr>
      </w:pPr>
      <w:r>
        <w:rPr>
          <w:rFonts w:hint="eastAsia"/>
        </w:rPr>
        <w:t xml:space="preserve">乙は、納期に遅延するおそれがあるときは、直ちに甲にその旨を通知し、甲乙協議の上、納期の変更等の措置を講じる。</w:t>
      </w:r>
    </w:p>
    <w:p>
      <w:r>
        <w:pict>
          <v:rect style="width:0;height:1.5pt" o:hralign="center" o:hrstd="t" o:hr="t"/>
        </w:pict>
      </w:r>
    </w:p>
    <w:bookmarkEnd w:id="16"/>
    <w:bookmarkStart w:id="17" w:name="第7条検収"/>
    <w:p>
      <w:pPr>
        <w:pStyle w:val="Heading3"/>
      </w:pPr>
      <w:r>
        <w:rPr>
          <w:rFonts w:hint="eastAsia"/>
        </w:rPr>
        <w:t xml:space="preserve">第7条(検収)</w:t>
      </w:r>
    </w:p>
    <w:p>
      <w:pPr>
        <w:pStyle w:val="Compact"/>
        <w:numPr>
          <w:ilvl w:val="0"/>
          <w:numId w:val="1008"/>
        </w:numPr>
      </w:pPr>
      <w:r>
        <w:rPr>
          <w:rFonts w:hint="eastAsia"/>
        </w:rPr>
        <w:t xml:space="preserve">甲は、対象物の納入を受けた日から[14]日以内(以下「検収期間」という。)に、対象物が個別契約の内容に適合しているかどうかを検査する。</w:t>
      </w:r>
    </w:p>
    <w:p>
      <w:pPr>
        <w:pStyle w:val="Compact"/>
        <w:numPr>
          <w:ilvl w:val="0"/>
          <w:numId w:val="1008"/>
        </w:numPr>
      </w:pPr>
      <w:r>
        <w:rPr>
          <w:rFonts w:hint="eastAsia"/>
        </w:rPr>
        <w:t xml:space="preserve">甲は、検収期間内に、対象物の合否を書面又は電磁的方法により乙に通知する。</w:t>
      </w:r>
    </w:p>
    <w:p>
      <w:pPr>
        <w:pStyle w:val="Compact"/>
        <w:numPr>
          <w:ilvl w:val="0"/>
          <w:numId w:val="1008"/>
        </w:numPr>
      </w:pPr>
      <w:r>
        <w:rPr>
          <w:rFonts w:hint="eastAsia"/>
        </w:rPr>
        <w:t xml:space="preserve">甲が検収期間内に前項の通知をしないときは、当該検収期間の満了をもって対象物が検収に合格したものとみなす。</w:t>
      </w:r>
    </w:p>
    <w:p>
      <w:pPr>
        <w:pStyle w:val="Compact"/>
        <w:numPr>
          <w:ilvl w:val="0"/>
          <w:numId w:val="1008"/>
        </w:numPr>
      </w:pPr>
      <w:r>
        <w:rPr>
          <w:rFonts w:hint="eastAsia"/>
        </w:rPr>
        <w:t xml:space="preserve">検収不合格の通知を受けた場合、乙は、甲が指定する相当の期間内に、自己の費用と責任において、対象物を補修又は代替物を納入し、改めて検収を求める。</w:t>
      </w:r>
    </w:p>
    <w:p>
      <w:pPr>
        <w:pStyle w:val="Compact"/>
        <w:numPr>
          <w:ilvl w:val="0"/>
          <w:numId w:val="1008"/>
        </w:numPr>
      </w:pPr>
      <w:r>
        <w:rPr>
          <w:rFonts w:hint="eastAsia"/>
        </w:rPr>
        <w:t xml:space="preserve">検収不合格の理由が、甲の指示又は甲の提供した資料・データに起因する場合、乙は前項の責任を負わず、追加対応については別途協議の上、合意するものとする。</w:t>
      </w:r>
    </w:p>
    <w:p>
      <w:r>
        <w:pict>
          <v:rect style="width:0;height:1.5pt" o:hralign="center" o:hrstd="t" o:hr="t"/>
        </w:pict>
      </w:r>
    </w:p>
    <w:bookmarkEnd w:id="17"/>
    <w:bookmarkStart w:id="18" w:name="第8条代金支払"/>
    <w:p>
      <w:pPr>
        <w:pStyle w:val="Heading3"/>
      </w:pPr>
      <w:r>
        <w:rPr>
          <w:rFonts w:hint="eastAsia"/>
        </w:rPr>
        <w:t xml:space="preserve">第8条(代金・支払)</w:t>
      </w:r>
    </w:p>
    <w:p>
      <w:pPr>
        <w:pStyle w:val="Compact"/>
        <w:numPr>
          <w:ilvl w:val="0"/>
          <w:numId w:val="1009"/>
        </w:numPr>
      </w:pPr>
      <w:r>
        <w:rPr>
          <w:rFonts w:hint="eastAsia"/>
        </w:rPr>
        <w:t xml:space="preserve">本取引の代金は、個別契約に定める。</w:t>
      </w:r>
    </w:p>
    <w:p>
      <w:pPr>
        <w:pStyle w:val="Compact"/>
        <w:numPr>
          <w:ilvl w:val="0"/>
          <w:numId w:val="1009"/>
        </w:numPr>
      </w:pPr>
      <w:r>
        <w:rPr>
          <w:rFonts w:hint="eastAsia"/>
        </w:rPr>
        <w:t xml:space="preserve">甲は、代金を、毎月[末]日締めで集計し、翌月[末]日までに乙の指定する金融機関の口座へ振込みにより支払う。ただし、当該支払日が、給付の受領日から起算して60日を超える場合、給付の受領日から60日以内のできる限り短い期日に支払う(フリーランス新法・下請法対象取引の場合)。</w:t>
      </w:r>
    </w:p>
    <w:p>
      <w:pPr>
        <w:pStyle w:val="Compact"/>
        <w:numPr>
          <w:ilvl w:val="0"/>
          <w:numId w:val="1009"/>
        </w:numPr>
      </w:pPr>
      <w:r>
        <w:rPr>
          <w:rFonts w:hint="eastAsia"/>
        </w:rPr>
        <w:t xml:space="preserve">振込手数料は甲の負担とする。</w:t>
      </w:r>
    </w:p>
    <w:p>
      <w:pPr>
        <w:pStyle w:val="Compact"/>
        <w:numPr>
          <w:ilvl w:val="0"/>
          <w:numId w:val="1009"/>
        </w:numPr>
      </w:pPr>
      <w:r>
        <w:rPr>
          <w:rFonts w:hint="eastAsia"/>
        </w:rPr>
        <w:t xml:space="preserve">甲が支払を遅延したときは、年[3]%の割合による遅延損害金を乙に支払う(下請法対象取引の場合は同法の定めに従う)。</w:t>
      </w:r>
    </w:p>
    <w:p>
      <w:r>
        <w:pict>
          <v:rect style="width:0;height:1.5pt" o:hralign="center" o:hrstd="t" o:hr="t"/>
        </w:pict>
      </w:r>
    </w:p>
    <w:bookmarkEnd w:id="18"/>
    <w:bookmarkStart w:id="19" w:name="第9条所有権危険負担の移転"/>
    <w:p>
      <w:pPr>
        <w:pStyle w:val="Heading3"/>
      </w:pPr>
      <w:r>
        <w:rPr>
          <w:rFonts w:hint="eastAsia"/>
        </w:rPr>
        <w:t xml:space="preserve">第9条(所有権・危険負担の移転)</w:t>
      </w:r>
    </w:p>
    <w:p>
      <w:pPr>
        <w:pStyle w:val="Compact"/>
        <w:numPr>
          <w:ilvl w:val="0"/>
          <w:numId w:val="1010"/>
        </w:numPr>
      </w:pPr>
      <w:r>
        <w:rPr>
          <w:rFonts w:hint="eastAsia"/>
        </w:rPr>
        <w:t xml:space="preserve">対象物の所有権は、第7条に定める検収完了の時に乙から甲に移転する。</w:t>
      </w:r>
    </w:p>
    <w:p>
      <w:pPr>
        <w:pStyle w:val="Compact"/>
        <w:numPr>
          <w:ilvl w:val="0"/>
          <w:numId w:val="1010"/>
        </w:numPr>
      </w:pPr>
      <w:r>
        <w:rPr>
          <w:rFonts w:hint="eastAsia"/>
        </w:rPr>
        <w:t xml:space="preserve">対象物の引渡し前に当該対象物が滅失・毀損した場合の危険は、乙の責に帰すべき事由による場合を除き、引渡しの時までは乙が負担し、引渡し後は甲が負担する。</w:t>
      </w:r>
    </w:p>
    <w:p>
      <w:r>
        <w:pict>
          <v:rect style="width:0;height:1.5pt" o:hralign="center" o:hrstd="t" o:hr="t"/>
        </w:pict>
      </w:r>
    </w:p>
    <w:bookmarkEnd w:id="19"/>
    <w:bookmarkStart w:id="20" w:name="第10条品質保証"/>
    <w:p>
      <w:pPr>
        <w:pStyle w:val="Heading3"/>
      </w:pPr>
      <w:r>
        <w:rPr>
          <w:rFonts w:hint="eastAsia"/>
        </w:rPr>
        <w:t xml:space="preserve">第10条(品質保証)</w:t>
      </w:r>
    </w:p>
    <w:p>
      <w:pPr>
        <w:pStyle w:val="Compact"/>
        <w:numPr>
          <w:ilvl w:val="0"/>
          <w:numId w:val="1011"/>
        </w:numPr>
      </w:pPr>
      <w:r>
        <w:rPr>
          <w:rFonts w:hint="eastAsia"/>
        </w:rPr>
        <w:t xml:space="preserve">乙は、対象物が個別契約に定める仕様・品質を満たすことを保証する。</w:t>
      </w:r>
    </w:p>
    <w:p>
      <w:pPr>
        <w:pStyle w:val="Compact"/>
        <w:numPr>
          <w:ilvl w:val="0"/>
          <w:numId w:val="1011"/>
        </w:numPr>
      </w:pPr>
      <w:r>
        <w:rPr>
          <w:rFonts w:hint="eastAsia"/>
        </w:rPr>
        <w:t xml:space="preserve">乙は、対象物が第三者の知的財産権その他の権利を侵害していないことを保証する。</w:t>
      </w:r>
    </w:p>
    <w:p>
      <w:pPr>
        <w:pStyle w:val="Compact"/>
        <w:numPr>
          <w:ilvl w:val="0"/>
          <w:numId w:val="1011"/>
        </w:numPr>
      </w:pPr>
      <w:r>
        <w:rPr>
          <w:rFonts w:hint="eastAsia"/>
        </w:rPr>
        <w:t xml:space="preserve">乙は、対象物が関係法令(製造物責任法を含む。)に適合していることを保証する。</w:t>
      </w:r>
    </w:p>
    <w:p>
      <w:r>
        <w:pict>
          <v:rect style="width:0;height:1.5pt" o:hralign="center" o:hrstd="t" o:hr="t"/>
        </w:pict>
      </w:r>
    </w:p>
    <w:bookmarkEnd w:id="20"/>
    <w:bookmarkStart w:id="21" w:name="第11条契約不適合責任"/>
    <w:p>
      <w:pPr>
        <w:pStyle w:val="Heading3"/>
      </w:pPr>
      <w:r>
        <w:rPr>
          <w:rFonts w:hint="eastAsia"/>
        </w:rPr>
        <w:t xml:space="preserve">第11条(契約不適合責任)</w:t>
      </w:r>
    </w:p>
    <w:p>
      <w:pPr>
        <w:pStyle w:val="Compact"/>
        <w:numPr>
          <w:ilvl w:val="0"/>
          <w:numId w:val="1012"/>
        </w:numPr>
      </w:pPr>
      <w:r>
        <w:rPr>
          <w:rFonts w:hint="eastAsia"/>
        </w:rPr>
        <w:t xml:space="preserve">検収完了後[6]か月以内に、対象物に契約の内容に適合しない事項(以下「契約不適合」という。)が発見された場合、甲は乙に対し、相当の期間を定めて、目的物の修補、代替物の引渡し又は不足分の引渡しによる履行の追完を請求することができる。</w:t>
      </w:r>
    </w:p>
    <w:p>
      <w:pPr>
        <w:pStyle w:val="Compact"/>
        <w:numPr>
          <w:ilvl w:val="0"/>
          <w:numId w:val="1012"/>
        </w:numPr>
      </w:pPr>
      <w:r>
        <w:rPr>
          <w:rFonts w:hint="eastAsia"/>
        </w:rPr>
        <w:t xml:space="preserve">甲が前項に定める相当の期間内に履行の追完がないときは、その不適合の程度に応じて代金の減額を請求することができる。</w:t>
      </w:r>
    </w:p>
    <w:p>
      <w:pPr>
        <w:pStyle w:val="Compact"/>
        <w:numPr>
          <w:ilvl w:val="0"/>
          <w:numId w:val="1012"/>
        </w:numPr>
      </w:pPr>
      <w:r>
        <w:rPr>
          <w:rFonts w:hint="eastAsia"/>
        </w:rPr>
        <w:t xml:space="preserve">契約不適合が乙の責に帰すべき事由による場合、甲は乙に対し、これによって甲に生じた損害の賠償を請求することができる。</w:t>
      </w:r>
    </w:p>
    <w:p>
      <w:pPr>
        <w:pStyle w:val="Compact"/>
        <w:numPr>
          <w:ilvl w:val="0"/>
          <w:numId w:val="1012"/>
        </w:numPr>
      </w:pPr>
      <w:r>
        <w:rPr>
          <w:rFonts w:hint="eastAsia"/>
        </w:rPr>
        <w:t xml:space="preserve">契約不適合が、甲の指示、甲の提供した資料・データに起因する場合、乙は前各項の責任を負わない。</w:t>
      </w:r>
    </w:p>
    <w:p>
      <w:r>
        <w:pict>
          <v:rect style="width:0;height:1.5pt" o:hralign="center" o:hrstd="t" o:hr="t"/>
        </w:pict>
      </w:r>
    </w:p>
    <w:bookmarkEnd w:id="21"/>
    <w:bookmarkStart w:id="22" w:name="第12条製造物責任"/>
    <w:p>
      <w:pPr>
        <w:pStyle w:val="Heading3"/>
      </w:pPr>
      <w:r>
        <w:rPr>
          <w:rFonts w:hint="eastAsia"/>
        </w:rPr>
        <w:t xml:space="preserve">第12条(製造物責任)</w:t>
      </w:r>
    </w:p>
    <w:p>
      <w:pPr>
        <w:pStyle w:val="Compact"/>
        <w:numPr>
          <w:ilvl w:val="0"/>
          <w:numId w:val="1013"/>
        </w:numPr>
      </w:pPr>
      <w:r>
        <w:rPr>
          <w:rFonts w:hint="eastAsia"/>
        </w:rPr>
        <w:t xml:space="preserve">対象物の欠陥により第三者の生命、身体又は財産に損害が生じた場合、乙は製造物責任法その他関係法令に基づき責任を負う。</w:t>
      </w:r>
    </w:p>
    <w:p>
      <w:pPr>
        <w:pStyle w:val="Compact"/>
        <w:numPr>
          <w:ilvl w:val="0"/>
          <w:numId w:val="1013"/>
        </w:numPr>
      </w:pPr>
      <w:r>
        <w:rPr>
          <w:rFonts w:hint="eastAsia"/>
        </w:rPr>
        <w:t xml:space="preserve">乙は、製造物責任に備えて、適切な内容のPL保険に加入することに努めるものとする。</w:t>
      </w:r>
    </w:p>
    <w:p>
      <w:r>
        <w:pict>
          <v:rect style="width:0;height:1.5pt" o:hralign="center" o:hrstd="t" o:hr="t"/>
        </w:pict>
      </w:r>
    </w:p>
    <w:bookmarkEnd w:id="22"/>
    <w:bookmarkStart w:id="23" w:name="第13条知的財産権の侵害"/>
    <w:p>
      <w:pPr>
        <w:pStyle w:val="Heading3"/>
      </w:pPr>
      <w:r>
        <w:rPr>
          <w:rFonts w:hint="eastAsia"/>
        </w:rPr>
        <w:t xml:space="preserve">第13条(知的財産権の侵害)</w:t>
      </w:r>
    </w:p>
    <w:p>
      <w:pPr>
        <w:pStyle w:val="Compact"/>
        <w:numPr>
          <w:ilvl w:val="0"/>
          <w:numId w:val="1014"/>
        </w:numPr>
      </w:pPr>
      <w:r>
        <w:rPr>
          <w:rFonts w:hint="eastAsia"/>
        </w:rPr>
        <w:t xml:space="preserve">対象物が第三者の知的財産権を侵害したとの主張・請求を第三者から受けた場合、乙は自己の費用と責任において、当該紛争を解決する。</w:t>
      </w:r>
    </w:p>
    <w:p>
      <w:pPr>
        <w:pStyle w:val="Compact"/>
        <w:numPr>
          <w:ilvl w:val="0"/>
          <w:numId w:val="1014"/>
        </w:numPr>
      </w:pPr>
      <w:r>
        <w:rPr>
          <w:rFonts w:hint="eastAsia"/>
        </w:rPr>
        <w:t xml:space="preserve">前項により甲に損害が生じた場合、乙はその損害を賠償する。</w:t>
      </w:r>
    </w:p>
    <w:p>
      <w:pPr>
        <w:pStyle w:val="Compact"/>
        <w:numPr>
          <w:ilvl w:val="0"/>
          <w:numId w:val="1014"/>
        </w:numPr>
      </w:pPr>
      <w:r>
        <w:rPr>
          <w:rFonts w:hint="eastAsia"/>
        </w:rPr>
        <w:t xml:space="preserve">甲は、前項の紛争解決に必要な範囲で乙に協力する。</w:t>
      </w:r>
    </w:p>
    <w:p>
      <w:r>
        <w:pict>
          <v:rect style="width:0;height:1.5pt" o:hralign="center" o:hrstd="t" o:hr="t"/>
        </w:pict>
      </w:r>
    </w:p>
    <w:bookmarkEnd w:id="23"/>
    <w:bookmarkStart w:id="24" w:name="第14条知的財産権の帰属"/>
    <w:p>
      <w:pPr>
        <w:pStyle w:val="Heading3"/>
      </w:pPr>
      <w:r>
        <w:rPr>
          <w:rFonts w:hint="eastAsia"/>
        </w:rPr>
        <w:t xml:space="preserve">第14条(知的財産権の帰属)</w:t>
      </w:r>
    </w:p>
    <w:p>
      <w:pPr>
        <w:pStyle w:val="Compact"/>
        <w:numPr>
          <w:ilvl w:val="0"/>
          <w:numId w:val="1015"/>
        </w:numPr>
      </w:pPr>
      <w:r>
        <w:rPr>
          <w:rFonts w:hint="eastAsia"/>
        </w:rPr>
        <w:t xml:space="preserve">本取引の遂行に伴い乙が作成した成果物に関する著作権(著作権法第27条及び第28条に定める権利を含む。)その他一切の知的財産権は、代金の完済をもって、乙から甲に譲渡されるものとする。ただし、乙が本契約以前から有していた知的財産権及び汎用的な技術・ノウハウに係る権利を除く。</w:t>
      </w:r>
    </w:p>
    <w:p>
      <w:pPr>
        <w:pStyle w:val="Compact"/>
        <w:numPr>
          <w:ilvl w:val="0"/>
          <w:numId w:val="1015"/>
        </w:numPr>
      </w:pPr>
      <w:r>
        <w:rPr>
          <w:rFonts w:hint="eastAsia"/>
        </w:rPr>
        <w:t xml:space="preserve">乙は、甲及び甲が指定する第三者に対し、成果物に関する著作者人格権を行使しない。</w:t>
      </w:r>
    </w:p>
    <w:p>
      <w:pPr>
        <w:pStyle w:val="Compact"/>
        <w:numPr>
          <w:ilvl w:val="0"/>
          <w:numId w:val="1015"/>
        </w:numPr>
      </w:pPr>
      <w:r>
        <w:rPr>
          <w:rFonts w:hint="eastAsia"/>
        </w:rPr>
        <w:t xml:space="preserve">乙が本契約以前から有していた知的財産権及び汎用的な技術・ノウハウについては、乙に留保される。ただし、乙は甲に対し、成果物の利用に必要な範囲で、当該知的財産権の利用を許諾する。</w:t>
      </w:r>
    </w:p>
    <w:p>
      <w:r>
        <w:pict>
          <v:rect style="width:0;height:1.5pt" o:hralign="center" o:hrstd="t" o:hr="t"/>
        </w:pict>
      </w:r>
    </w:p>
    <w:bookmarkEnd w:id="24"/>
    <w:bookmarkStart w:id="25" w:name="第15条再委託再販売"/>
    <w:p>
      <w:pPr>
        <w:pStyle w:val="Heading3"/>
      </w:pPr>
      <w:r>
        <w:rPr>
          <w:rFonts w:hint="eastAsia"/>
        </w:rPr>
        <w:t xml:space="preserve">第15条(再委託・再販売)</w:t>
      </w:r>
    </w:p>
    <w:p>
      <w:pPr>
        <w:pStyle w:val="Compact"/>
        <w:numPr>
          <w:ilvl w:val="0"/>
          <w:numId w:val="1016"/>
        </w:numPr>
      </w:pPr>
      <w:r>
        <w:rPr>
          <w:rFonts w:hint="eastAsia"/>
        </w:rPr>
        <w:t xml:space="preserve">乙は、甲の事前の書面又は電磁的方法による承諾を得ることなく、本取引の遂行又は対象物の供給を第三者に再委託・再販売してはならない。</w:t>
      </w:r>
    </w:p>
    <w:p>
      <w:pPr>
        <w:pStyle w:val="Compact"/>
        <w:numPr>
          <w:ilvl w:val="0"/>
          <w:numId w:val="1016"/>
        </w:numPr>
      </w:pPr>
      <w:r>
        <w:rPr>
          <w:rFonts w:hint="eastAsia"/>
        </w:rPr>
        <w:t xml:space="preserve">乙が前項に基づき再委託・再販売する場合、乙は、再委託先・再販先に対し、本契約に基づき乙が負うのと同等の義務を遵守させるものとし、再委託先・再販先の行為について甲に対し責任を負う。</w:t>
      </w:r>
    </w:p>
    <w:p>
      <w:r>
        <w:pict>
          <v:rect style="width:0;height:1.5pt" o:hralign="center" o:hrstd="t" o:hr="t"/>
        </w:pict>
      </w:r>
    </w:p>
    <w:bookmarkEnd w:id="25"/>
    <w:bookmarkStart w:id="26" w:name="第16条競業避止専属販売"/>
    <w:p>
      <w:pPr>
        <w:pStyle w:val="Heading3"/>
      </w:pPr>
      <w:r>
        <w:rPr>
          <w:rFonts w:hint="eastAsia"/>
        </w:rPr>
        <w:t xml:space="preserve">第16条(競業避止・専属販売)</w:t>
      </w:r>
    </w:p>
    <w:p>
      <w:pPr>
        <w:pStyle w:val="FirstParagraph"/>
      </w:pPr>
      <w:r>
        <w:rPr>
          <w:rFonts w:hint="eastAsia"/>
        </w:rPr>
        <w:t xml:space="preserve">本契約期間中、乙は、甲の事前の書面又は電磁的方法による承諾なく、対象物と同種・同等の商品・サービスを、甲の競合事業者に供給してはならない(競業避止が必要な場合のみ採用)。</w:t>
      </w:r>
    </w:p>
    <w:p>
      <w:r>
        <w:pict>
          <v:rect style="width:0;height:1.5pt" o:hralign="center" o:hrstd="t" o:hr="t"/>
        </w:pict>
      </w:r>
    </w:p>
    <w:bookmarkEnd w:id="26"/>
    <w:bookmarkStart w:id="27" w:name="第17条秘密保持"/>
    <w:p>
      <w:pPr>
        <w:pStyle w:val="Heading3"/>
      </w:pPr>
      <w:r>
        <w:rPr>
          <w:rFonts w:hint="eastAsia"/>
        </w:rPr>
        <w:t xml:space="preserve">第17条(秘密保持)</w:t>
      </w:r>
    </w:p>
    <w:p>
      <w:pPr>
        <w:pStyle w:val="Compact"/>
        <w:numPr>
          <w:ilvl w:val="0"/>
          <w:numId w:val="1017"/>
        </w:numPr>
      </w:pPr>
      <w:r>
        <w:rPr>
          <w:rFonts w:hint="eastAsia"/>
        </w:rPr>
        <w:t xml:space="preserve">甲及び乙は、本契約の履行に関連して相手方から開示を受け、又は知り得た一切の情報(以下「秘密情報」という。)を、相手方の事前の書面又は電磁的方法による承諾なくして、第三者に開示又は漏洩してはならず、また、本契約の履行以外の目的に使用してはならない。</w:t>
      </w:r>
    </w:p>
    <w:p>
      <w:pPr>
        <w:pStyle w:val="Compact"/>
        <w:numPr>
          <w:ilvl w:val="0"/>
          <w:numId w:val="1017"/>
        </w:numPr>
      </w:pPr>
      <w:r>
        <w:rPr>
          <w:rFonts w:hint="eastAsia"/>
        </w:rPr>
        <w:t xml:space="preserve">前項の規定にかかわらず、以下の各号のいずれかに該当する情報は、秘密情報に該当しないものとする。</w:t>
      </w:r>
    </w:p>
    <w:p>
      <w:pPr>
        <w:pStyle w:val="Compact"/>
        <w:numPr>
          <w:ilvl w:val="1"/>
          <w:numId w:val="1018"/>
        </w:numPr>
      </w:pPr>
      <w:r>
        <w:rPr>
          <w:rFonts w:hint="eastAsia"/>
        </w:rPr>
        <w:t xml:space="preserve">開示の時点で既に公知である情報</w:t>
      </w:r>
    </w:p>
    <w:p>
      <w:pPr>
        <w:pStyle w:val="Compact"/>
        <w:numPr>
          <w:ilvl w:val="1"/>
          <w:numId w:val="1018"/>
        </w:numPr>
      </w:pPr>
      <w:r>
        <w:rPr>
          <w:rFonts w:hint="eastAsia"/>
        </w:rPr>
        <w:t xml:space="preserve">開示後に自己の責によらず公知となった情報</w:t>
      </w:r>
    </w:p>
    <w:p>
      <w:pPr>
        <w:pStyle w:val="Compact"/>
        <w:numPr>
          <w:ilvl w:val="1"/>
          <w:numId w:val="1018"/>
        </w:numPr>
      </w:pPr>
      <w:r>
        <w:rPr>
          <w:rFonts w:hint="eastAsia"/>
        </w:rPr>
        <w:t xml:space="preserve">開示の時点で既に自己が正当に保有していた情報</w:t>
      </w:r>
    </w:p>
    <w:p>
      <w:pPr>
        <w:pStyle w:val="Compact"/>
        <w:numPr>
          <w:ilvl w:val="1"/>
          <w:numId w:val="1018"/>
        </w:numPr>
      </w:pPr>
      <w:r>
        <w:rPr>
          <w:rFonts w:hint="eastAsia"/>
        </w:rPr>
        <w:t xml:space="preserve">正当な権限を有する第三者から守秘義務を負うことなく適法に取得した情報</w:t>
      </w:r>
    </w:p>
    <w:p>
      <w:pPr>
        <w:pStyle w:val="Compact"/>
        <w:numPr>
          <w:ilvl w:val="1"/>
          <w:numId w:val="1018"/>
        </w:numPr>
      </w:pPr>
      <w:r>
        <w:rPr>
          <w:rFonts w:hint="eastAsia"/>
        </w:rPr>
        <w:t xml:space="preserve">相手方から開示を受けた情報によらず独自に開発した情報</w:t>
      </w:r>
    </w:p>
    <w:p>
      <w:pPr>
        <w:pStyle w:val="Compact"/>
        <w:numPr>
          <w:ilvl w:val="0"/>
          <w:numId w:val="1017"/>
        </w:numPr>
      </w:pPr>
      <w:r>
        <w:rPr>
          <w:rFonts w:hint="eastAsia"/>
        </w:rPr>
        <w:t xml:space="preserve">本条の規定は、本契約終了後も[3]年間有効に存続する。</w:t>
      </w:r>
    </w:p>
    <w:p>
      <w:r>
        <w:pict>
          <v:rect style="width:0;height:1.5pt" o:hralign="center" o:hrstd="t" o:hr="t"/>
        </w:pict>
      </w:r>
    </w:p>
    <w:bookmarkEnd w:id="27"/>
    <w:bookmarkStart w:id="28" w:name="第18条個人情報の取扱い"/>
    <w:p>
      <w:pPr>
        <w:pStyle w:val="Heading3"/>
      </w:pPr>
      <w:r>
        <w:rPr>
          <w:rFonts w:hint="eastAsia"/>
        </w:rPr>
        <w:t xml:space="preserve">第18条(個人情報の取扱い)</w:t>
      </w:r>
    </w:p>
    <w:p>
      <w:pPr>
        <w:pStyle w:val="Compact"/>
        <w:numPr>
          <w:ilvl w:val="0"/>
          <w:numId w:val="1019"/>
        </w:numPr>
      </w:pPr>
      <w:r>
        <w:rPr>
          <w:rFonts w:hint="eastAsia"/>
        </w:rPr>
        <w:t xml:space="preserve">乙は、本取引において個人情報の保護に関する法律に定める個人情報を取り扱う場合、同法その他関係法令及び甲が別途定める個人情報取扱規程を遵守し、適切な安全管理措置を講じるものとする。</w:t>
      </w:r>
    </w:p>
    <w:p>
      <w:pPr>
        <w:pStyle w:val="Compact"/>
        <w:numPr>
          <w:ilvl w:val="0"/>
          <w:numId w:val="1019"/>
        </w:numPr>
      </w:pPr>
      <w:r>
        <w:rPr>
          <w:rFonts w:hint="eastAsia"/>
        </w:rPr>
        <w:t xml:space="preserve">乙は、甲の事前の書面又は電磁的方法による承諾なく、個人情報を本契約の履行以外の目的に使用し、又は第三者に提供してはならない。</w:t>
      </w:r>
    </w:p>
    <w:p>
      <w:r>
        <w:pict>
          <v:rect style="width:0;height:1.5pt" o:hralign="center" o:hrstd="t" o:hr="t"/>
        </w:pict>
      </w:r>
    </w:p>
    <w:bookmarkEnd w:id="28"/>
    <w:bookmarkStart w:id="29" w:name="第19条反社会的勢力の排除"/>
    <w:p>
      <w:pPr>
        <w:pStyle w:val="Heading3"/>
      </w:pPr>
      <w:r>
        <w:rPr>
          <w:rFonts w:hint="eastAsia"/>
        </w:rPr>
        <w:t xml:space="preserve">第19条(反社会的勢力の排除)</w:t>
      </w:r>
    </w:p>
    <w:p>
      <w:pPr>
        <w:pStyle w:val="Compact"/>
        <w:numPr>
          <w:ilvl w:val="0"/>
          <w:numId w:val="1020"/>
        </w:numPr>
      </w:pPr>
      <w:r>
        <w:rPr>
          <w:rFonts w:hint="eastAsia"/>
        </w:rPr>
        <w:t xml:space="preserve">甲及び乙は、自己又は自己の役員若しくは従業員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20"/>
        </w:numPr>
      </w:pPr>
      <w:r>
        <w:rPr>
          <w:rFonts w:hint="eastAsia"/>
        </w:rPr>
        <w:t xml:space="preserve">甲又は乙は、相手方が前項に違反した場合、何らの催告を要せず、直ちに本契約を解除することができる。</w:t>
      </w:r>
    </w:p>
    <w:p>
      <w:pPr>
        <w:pStyle w:val="Compact"/>
        <w:numPr>
          <w:ilvl w:val="0"/>
          <w:numId w:val="1020"/>
        </w:numPr>
      </w:pPr>
      <w:r>
        <w:rPr>
          <w:rFonts w:hint="eastAsia"/>
        </w:rPr>
        <w:t xml:space="preserve">前項により本契約を解除した場合、解除した当事者は、解除によって相手方に生じた損害について賠償する責任を負わない。</w:t>
      </w:r>
    </w:p>
    <w:p>
      <w:r>
        <w:pict>
          <v:rect style="width:0;height:1.5pt" o:hralign="center" o:hrstd="t" o:hr="t"/>
        </w:pict>
      </w:r>
    </w:p>
    <w:bookmarkEnd w:id="29"/>
    <w:bookmarkStart w:id="30" w:name="第20条解除"/>
    <w:p>
      <w:pPr>
        <w:pStyle w:val="Heading3"/>
      </w:pPr>
      <w:r>
        <w:rPr>
          <w:rFonts w:hint="eastAsia"/>
        </w:rPr>
        <w:t xml:space="preserve">第20条(解除)</w:t>
      </w:r>
    </w:p>
    <w:p>
      <w:pPr>
        <w:pStyle w:val="Compact"/>
        <w:numPr>
          <w:ilvl w:val="0"/>
          <w:numId w:val="1021"/>
        </w:numPr>
      </w:pPr>
      <w:r>
        <w:rPr>
          <w:rFonts w:hint="eastAsia"/>
        </w:rPr>
        <w:t xml:space="preserve">甲又は乙は、相手方が本契約の各条項に違反し、相当の期間を定めて是正を催告したにもかかわらず、当該期間内に是正されない場合、本契約を解除することができる。</w:t>
      </w:r>
    </w:p>
    <w:p>
      <w:pPr>
        <w:pStyle w:val="Compact"/>
        <w:numPr>
          <w:ilvl w:val="0"/>
          <w:numId w:val="1021"/>
        </w:numPr>
      </w:pPr>
      <w:r>
        <w:rPr>
          <w:rFonts w:hint="eastAsia"/>
        </w:rPr>
        <w:t xml:space="preserve">甲又は乙は、相手方が以下の各号のいずれかに該当した場合、何らの催告なく直ちに本契約の全部又は一部を解除することができる。</w:t>
      </w:r>
    </w:p>
    <w:p>
      <w:pPr>
        <w:pStyle w:val="Compact"/>
        <w:numPr>
          <w:ilvl w:val="1"/>
          <w:numId w:val="1022"/>
        </w:numPr>
      </w:pPr>
      <w:r>
        <w:rPr>
          <w:rFonts w:hint="eastAsia"/>
        </w:rPr>
        <w:t xml:space="preserve">支払停止又は支払不能の状態に陥ったとき</w:t>
      </w:r>
    </w:p>
    <w:p>
      <w:pPr>
        <w:pStyle w:val="Compact"/>
        <w:numPr>
          <w:ilvl w:val="1"/>
          <w:numId w:val="1022"/>
        </w:numPr>
      </w:pPr>
      <w:r>
        <w:rPr>
          <w:rFonts w:hint="eastAsia"/>
        </w:rPr>
        <w:t xml:space="preserve">破産手続開始、民事再生手続開始、会社更生手続開始、特別清算開始の申立てを行ったとき、又はこれらの申立てがなされたとき</w:t>
      </w:r>
    </w:p>
    <w:p>
      <w:pPr>
        <w:pStyle w:val="Compact"/>
        <w:numPr>
          <w:ilvl w:val="1"/>
          <w:numId w:val="1022"/>
        </w:numPr>
      </w:pPr>
      <w:r>
        <w:rPr>
          <w:rFonts w:hint="eastAsia"/>
        </w:rPr>
        <w:t xml:space="preserve">手形又は小切手の不渡りを出したとき</w:t>
      </w:r>
    </w:p>
    <w:p>
      <w:pPr>
        <w:pStyle w:val="Compact"/>
        <w:numPr>
          <w:ilvl w:val="1"/>
          <w:numId w:val="1022"/>
        </w:numPr>
      </w:pPr>
      <w:r>
        <w:rPr>
          <w:rFonts w:hint="eastAsia"/>
        </w:rPr>
        <w:t xml:space="preserve">差押え、仮差押え、仮処分、租税滞納処分その他公権力の処分を受けたとき</w:t>
      </w:r>
    </w:p>
    <w:p>
      <w:pPr>
        <w:pStyle w:val="Compact"/>
        <w:numPr>
          <w:ilvl w:val="1"/>
          <w:numId w:val="1022"/>
        </w:numPr>
      </w:pPr>
      <w:r>
        <w:rPr>
          <w:rFonts w:hint="eastAsia"/>
        </w:rPr>
        <w:t xml:space="preserve">解散の決議をしたとき、又は事業を廃止したとき</w:t>
      </w:r>
    </w:p>
    <w:p>
      <w:pPr>
        <w:pStyle w:val="Compact"/>
        <w:numPr>
          <w:ilvl w:val="1"/>
          <w:numId w:val="1022"/>
        </w:numPr>
      </w:pPr>
      <w:r>
        <w:rPr>
          <w:rFonts w:hint="eastAsia"/>
        </w:rPr>
        <w:t xml:space="preserve">その他本契約を継続することが困難と認められる重大な事由が発生したとき</w:t>
      </w:r>
    </w:p>
    <w:p>
      <w:pPr>
        <w:pStyle w:val="Compact"/>
        <w:numPr>
          <w:ilvl w:val="0"/>
          <w:numId w:val="1021"/>
        </w:numPr>
      </w:pPr>
      <w:r>
        <w:rPr>
          <w:rFonts w:hint="eastAsia"/>
        </w:rPr>
        <w:t xml:space="preserve">本条による契約解除は、解除した当事者の損害賠償請求を妨げない。</w:t>
      </w:r>
    </w:p>
    <w:p>
      <w:r>
        <w:pict>
          <v:rect style="width:0;height:1.5pt" o:hralign="center" o:hrstd="t" o:hr="t"/>
        </w:pict>
      </w:r>
    </w:p>
    <w:bookmarkEnd w:id="30"/>
    <w:bookmarkStart w:id="31" w:name="第21条期限の利益喪失"/>
    <w:p>
      <w:pPr>
        <w:pStyle w:val="Heading3"/>
      </w:pPr>
      <w:r>
        <w:rPr>
          <w:rFonts w:hint="eastAsia"/>
        </w:rPr>
        <w:t xml:space="preserve">第21条(期限の利益喪失)</w:t>
      </w:r>
    </w:p>
    <w:p>
      <w:pPr>
        <w:pStyle w:val="FirstParagraph"/>
      </w:pPr>
      <w:r>
        <w:rPr>
          <w:rFonts w:hint="eastAsia"/>
        </w:rPr>
        <w:t xml:space="preserve">甲又は乙は、相手方が前条第2項の各号のいずれかに該当した場合、当然に本契約及び個別契約に基づく一切の債務について期限の利益を失い、直ちに当該債務を弁済しなければならない。</w:t>
      </w:r>
    </w:p>
    <w:p>
      <w:r>
        <w:pict>
          <v:rect style="width:0;height:1.5pt" o:hralign="center" o:hrstd="t" o:hr="t"/>
        </w:pict>
      </w:r>
    </w:p>
    <w:bookmarkEnd w:id="31"/>
    <w:bookmarkStart w:id="32" w:name="第22条損害賠償"/>
    <w:p>
      <w:pPr>
        <w:pStyle w:val="Heading3"/>
      </w:pPr>
      <w:r>
        <w:rPr>
          <w:rFonts w:hint="eastAsia"/>
        </w:rPr>
        <w:t xml:space="preserve">第22条(損害賠償)</w:t>
      </w:r>
    </w:p>
    <w:p>
      <w:pPr>
        <w:pStyle w:val="Compact"/>
        <w:numPr>
          <w:ilvl w:val="0"/>
          <w:numId w:val="1023"/>
        </w:numPr>
      </w:pPr>
      <w:r>
        <w:rPr>
          <w:rFonts w:hint="eastAsia"/>
        </w:rPr>
        <w:t xml:space="preserve">甲又は乙は、自己の責に帰すべき事由により本契約又は個別契約に違反し、相手方に損害を与えた場合、相手方に対し、当該損害(通常生ずべき損害に限り、逸失利益を含まない。)を賠償する責任を負う。</w:t>
      </w:r>
    </w:p>
    <w:p>
      <w:pPr>
        <w:pStyle w:val="Compact"/>
        <w:numPr>
          <w:ilvl w:val="0"/>
          <w:numId w:val="1023"/>
        </w:numPr>
      </w:pPr>
      <w:r>
        <w:rPr>
          <w:rFonts w:hint="eastAsia"/>
        </w:rPr>
        <w:t xml:space="preserve">前項に基づく損害賠償の総額は、賠償の原因となる事由が発生した時点の直前12か月間に甲が乙に支払った又は支払うべき代金の額を上限とする。ただし、損害が故意又は重大な過失に起因する場合はこの限りでない。</w:t>
      </w:r>
    </w:p>
    <w:p>
      <w:r>
        <w:pict>
          <v:rect style="width:0;height:1.5pt" o:hralign="center" o:hrstd="t" o:hr="t"/>
        </w:pict>
      </w:r>
    </w:p>
    <w:bookmarkEnd w:id="32"/>
    <w:bookmarkStart w:id="33" w:name="第23条不可抗力"/>
    <w:p>
      <w:pPr>
        <w:pStyle w:val="Heading3"/>
      </w:pPr>
      <w:r>
        <w:rPr>
          <w:rFonts w:hint="eastAsia"/>
        </w:rPr>
        <w:t xml:space="preserve">第23条(不可抗力)</w:t>
      </w:r>
    </w:p>
    <w:p>
      <w:pPr>
        <w:pStyle w:val="Compact"/>
        <w:numPr>
          <w:ilvl w:val="0"/>
          <w:numId w:val="1024"/>
        </w:numPr>
      </w:pPr>
      <w:r>
        <w:rPr>
          <w:rFonts w:hint="eastAsia"/>
        </w:rPr>
        <w:t xml:space="preserve">天災地変、戦争、内乱、暴動、テロ、感染症の流行、法令の改廃制定、公権力による命令処分、輸送機関の事故、大規模通信障害、サイバー攻撃、その他甲乙いずれの責にも帰すことができない事由により、本契約又は個別契約の全部又は一部の履行が遅延又は不能となった場合、当該当事者はその責任を負わない。</w:t>
      </w:r>
    </w:p>
    <w:p>
      <w:pPr>
        <w:pStyle w:val="Compact"/>
        <w:numPr>
          <w:ilvl w:val="0"/>
          <w:numId w:val="1024"/>
        </w:numPr>
      </w:pPr>
      <w:r>
        <w:rPr>
          <w:rFonts w:hint="eastAsia"/>
        </w:rPr>
        <w:t xml:space="preserve">前項の事由が発生した場合、甲乙は速やかに相手方に通知し、本契約の継続、変更又は終了について誠実に協議するものとする。</w:t>
      </w:r>
    </w:p>
    <w:p>
      <w:r>
        <w:pict>
          <v:rect style="width:0;height:1.5pt" o:hralign="center" o:hrstd="t" o:hr="t"/>
        </w:pict>
      </w:r>
    </w:p>
    <w:bookmarkEnd w:id="33"/>
    <w:bookmarkStart w:id="34" w:name="第24条権利義務の譲渡禁止"/>
    <w:p>
      <w:pPr>
        <w:pStyle w:val="Heading3"/>
      </w:pPr>
      <w:r>
        <w:rPr>
          <w:rFonts w:hint="eastAsia"/>
        </w:rPr>
        <w:t xml:space="preserve">第24条(権利義務の譲渡禁止)</w:t>
      </w:r>
    </w:p>
    <w:p>
      <w:pPr>
        <w:pStyle w:val="FirstParagraph"/>
      </w:pPr>
      <w:r>
        <w:rPr>
          <w:rFonts w:hint="eastAsia"/>
        </w:rPr>
        <w:t xml:space="preserve">甲及び乙は、相手方の事前の書面又は電磁的方法による承諾なく、本契約上の地位又は本契約に基づく権利義務の全部又は一部を、第三者に譲渡し、承継させ、又は担保に供してはならない。</w:t>
      </w:r>
    </w:p>
    <w:p>
      <w:r>
        <w:pict>
          <v:rect style="width:0;height:1.5pt" o:hralign="center" o:hrstd="t" o:hr="t"/>
        </w:pict>
      </w:r>
    </w:p>
    <w:bookmarkEnd w:id="34"/>
    <w:bookmarkStart w:id="35" w:name="第25条存続条項"/>
    <w:p>
      <w:pPr>
        <w:pStyle w:val="Heading3"/>
      </w:pPr>
      <w:r>
        <w:rPr>
          <w:rFonts w:hint="eastAsia"/>
        </w:rPr>
        <w:t xml:space="preserve">第25条(存続条項)</w:t>
      </w:r>
    </w:p>
    <w:p>
      <w:pPr>
        <w:pStyle w:val="FirstParagraph"/>
      </w:pPr>
      <w:r>
        <w:rPr>
          <w:rFonts w:hint="eastAsia"/>
        </w:rPr>
        <w:t xml:space="preserve">本契約終了後も、第11条(契約不適合責任)、第13条(知的財産権の侵害)、第14条(知的財産権の帰属)、第17条(秘密保持)、第18条(個人情報の取扱い)、第22条(損害賠償)、第24条(権利義務の譲渡禁止)、第26条(合意管轄・準拠法)及び第27条(協議事項)の規定は引き続き有効とする。</w:t>
      </w:r>
    </w:p>
    <w:p>
      <w:r>
        <w:pict>
          <v:rect style="width:0;height:1.5pt" o:hralign="center" o:hrstd="t" o:hr="t"/>
        </w:pict>
      </w:r>
    </w:p>
    <w:bookmarkEnd w:id="35"/>
    <w:bookmarkStart w:id="36" w:name="第26条合意管轄準拠法"/>
    <w:p>
      <w:pPr>
        <w:pStyle w:val="Heading3"/>
      </w:pPr>
      <w:r>
        <w:rPr>
          <w:rFonts w:hint="eastAsia"/>
        </w:rPr>
        <w:t xml:space="preserve">第26条(合意管轄・準拠法)</w:t>
      </w:r>
    </w:p>
    <w:p>
      <w:pPr>
        <w:pStyle w:val="Compact"/>
        <w:numPr>
          <w:ilvl w:val="0"/>
          <w:numId w:val="1025"/>
        </w:numPr>
      </w:pPr>
      <w:r>
        <w:rPr>
          <w:rFonts w:hint="eastAsia"/>
        </w:rPr>
        <w:t xml:space="preserve">本契約は、日本法に準拠し、日本法に従って解釈される。</w:t>
      </w:r>
    </w:p>
    <w:p>
      <w:pPr>
        <w:pStyle w:val="Compact"/>
        <w:numPr>
          <w:ilvl w:val="0"/>
          <w:numId w:val="1025"/>
        </w:numPr>
      </w:pPr>
      <w:r>
        <w:rPr>
          <w:rFonts w:hint="eastAsia"/>
        </w:rPr>
        <w:t xml:space="preserve">本契約又は個別契約に関して甲乙間に生じた一切の紛争については、[甲の本店所在地]を管轄する地方裁判所を第一審の専属的合意管轄裁判所とする。</w:t>
      </w:r>
    </w:p>
    <w:p>
      <w:r>
        <w:pict>
          <v:rect style="width:0;height:1.5pt" o:hralign="center" o:hrstd="t" o:hr="t"/>
        </w:pict>
      </w:r>
    </w:p>
    <w:bookmarkEnd w:id="36"/>
    <w:bookmarkStart w:id="37" w:name="第27条協議事項"/>
    <w:p>
      <w:pPr>
        <w:pStyle w:val="Heading3"/>
      </w:pPr>
      <w:r>
        <w:rPr>
          <w:rFonts w:hint="eastAsia"/>
        </w:rPr>
        <w:t xml:space="preserve">第27条(協議事項)</w:t>
      </w:r>
    </w:p>
    <w:p>
      <w:pPr>
        <w:pStyle w:val="FirstParagraph"/>
      </w:pPr>
      <w:r>
        <w:rPr>
          <w:rFonts w:hint="eastAsia"/>
        </w:rPr>
        <w:t xml:space="preserve">本契約又は個別契約に定めのない事項又は本契約若しくは個別契約の解釈につき疑義が生じた事項については、甲乙誠実に協議の上、解決するものとする。</w:t>
      </w:r>
    </w:p>
    <w:p>
      <w:r>
        <w:pict>
          <v:rect style="width:0;height:1.5pt" o:hralign="center" o:hrstd="t" o:hr="t"/>
        </w:pict>
      </w:r>
    </w:p>
    <w:bookmarkEnd w:id="37"/>
    <w:bookmarkEnd w:id="38"/>
    <w:bookmarkStart w:id="39" w:name="締結"/>
    <w:p>
      <w:pPr>
        <w:pStyle w:val="Heading2"/>
      </w:pPr>
      <w:r>
        <w:rPr>
          <w:rFonts w:hint="eastAsia"/>
        </w:rPr>
        <w:t xml:space="preserve">締結</w:t>
      </w:r>
    </w:p>
    <w:p>
      <w:pPr>
        <w:pStyle w:val="FirstParagraph"/>
      </w:pPr>
      <w:r>
        <w:rPr>
          <w:rFonts w:hint="eastAsia"/>
        </w:rPr>
        <w:t xml:space="preserve">本契約締結の証として、本書2通を作成し、甲乙記名押印の上、各自1通を保有する。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r>
        <w:pict>
          <v:rect style="width:0;height:1.5pt" o:hralign="center" o:hrstd="t" o:hr="t"/>
        </w:pict>
      </w:r>
    </w:p>
    <w:p>
      <w:pPr>
        <w:pStyle w:val="FirstParagraph"/>
      </w:pPr>
      <w:r>
        <w:rPr>
          <w:rFonts w:hint="eastAsia"/>
          <w:b/>
          <w:bCs/>
        </w:rPr>
        <w:t xml:space="preserve">(甲)</w:t>
      </w:r>
      <w:r>
        <w:t xml:space="preserve"> </w:t>
      </w:r>
      <w:r>
        <w:rPr>
          <w:rFonts w:hint="eastAsia"/>
        </w:rPr>
        <w:t xml:space="preserve">取引当事者</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取引当事者</w:t>
      </w:r>
      <w:r>
        <w:t xml:space="preserve"> </w:t>
      </w:r>
      <w:r>
        <w:rPr>
          <w:rFonts w:hint="eastAsia"/>
        </w:rPr>
        <w:t xml:space="preserve">住所:[乙の所在地]</w:t>
      </w:r>
      <w:r>
        <w:t xml:space="preserve"> </w:t>
      </w:r>
      <w:r>
        <w:rPr>
          <w:rFonts w:hint="eastAsia"/>
        </w:rPr>
        <w:t xml:space="preserve">名称:[乙の正式名称]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r>
        <w:pict>
          <v:rect style="width:0;height:1.5pt" o:hralign="center" o:hrstd="t" o:hr="t"/>
        </w:pict>
      </w:r>
    </w:p>
    <w:bookmarkEnd w:id="39"/>
    <w:bookmarkStart w:id="40" w:name="別紙注文書参考フォーマット"/>
    <w:p>
      <w:pPr>
        <w:pStyle w:val="Heading2"/>
      </w:pPr>
      <w:r>
        <w:rPr>
          <w:rFonts w:hint="eastAsia"/>
        </w:rPr>
        <w:t xml:space="preserve">別紙:注文書(参考フォーマット)</w:t>
      </w:r>
    </w:p>
    <w:p>
      <w:pPr>
        <w:pStyle w:val="FirstParagraph"/>
      </w:pPr>
      <w:r>
        <w:rPr>
          <w:rFonts w:hint="eastAsia"/>
        </w:rPr>
        <w:t xml:space="preserve">本契約第5条に基づく個別契約の発注書として、以下のフォーマットを参考にしてください。</w:t>
      </w:r>
    </w:p>
    <w:p>
      <w:pPr>
        <w:pStyle w:val="BodyText"/>
      </w:pPr>
      <w:r>
        <w:rPr>
          <w:rFonts w:hint="eastAsia"/>
          <w:b/>
          <w:bCs/>
        </w:rPr>
        <w:t xml:space="preserve">注文書番号</w:t>
      </w:r>
      <w:r>
        <w:rPr>
          <w:rFonts w:hint="eastAsia"/>
        </w:rPr>
        <w:t xml:space="preserve">:[注文書番号]</w:t>
      </w:r>
      <w:r>
        <w:t xml:space="preserve"> </w:t>
      </w:r>
      <w:r>
        <w:rPr>
          <w:rFonts w:hint="eastAsia"/>
          <w:b/>
          <w:bCs/>
        </w:rPr>
        <w:t xml:space="preserve">注文日</w:t>
      </w:r>
      <w:r>
        <w:rPr>
          <w:rFonts w:hint="eastAsia"/>
        </w:rPr>
        <w:t xml:space="preserve">:[YYYY年MM月DD日]</w:t>
      </w:r>
    </w:p>
    <w:p>
      <w:pPr>
        <w:pStyle w:val="BodyText"/>
      </w:pPr>
      <w:r>
        <w:rPr>
          <w:rFonts w:hint="eastAsia"/>
          <w:b/>
          <w:bCs/>
        </w:rPr>
        <w:t xml:space="preserve">発注者(甲)</w:t>
      </w:r>
      <w:r>
        <w:rPr>
          <w:rFonts w:hint="eastAsia"/>
        </w:rPr>
        <w:t xml:space="preserve">:[甲の正式名称]</w:t>
      </w:r>
      <w:r>
        <w:t xml:space="preserve"> </w:t>
      </w:r>
      <w:r>
        <w:rPr>
          <w:rFonts w:hint="eastAsia"/>
          <w:b/>
          <w:bCs/>
        </w:rPr>
        <w:t xml:space="preserve">受注者(乙)</w:t>
      </w:r>
      <w:r>
        <w:rPr>
          <w:rFonts w:hint="eastAsia"/>
        </w:rPr>
        <w:t xml:space="preserve">:[乙の正式名称]</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品名</w:t>
            </w:r>
          </w:p>
        </w:tc>
        <w:tc>
          <w:tcPr/>
          <w:p>
            <w:pPr>
              <w:pStyle w:val="Compact"/>
            </w:pPr>
            <w:r>
              <w:rPr>
                <w:rFonts w:hint="eastAsia"/>
              </w:rPr>
              <w:t xml:space="preserve">仕様</w:t>
            </w:r>
          </w:p>
        </w:tc>
        <w:tc>
          <w:tcPr/>
          <w:p>
            <w:pPr>
              <w:pStyle w:val="Compact"/>
            </w:pPr>
            <w:r>
              <w:rPr>
                <w:rFonts w:hint="eastAsia"/>
              </w:rPr>
              <w:t xml:space="preserve">数量</w:t>
            </w:r>
          </w:p>
        </w:tc>
        <w:tc>
          <w:tcPr/>
          <w:p>
            <w:pPr>
              <w:pStyle w:val="Compact"/>
            </w:pPr>
            <w:r>
              <w:rPr>
                <w:rFonts w:hint="eastAsia"/>
              </w:rPr>
              <w:t xml:space="preserve">単価(税別)</w:t>
            </w:r>
          </w:p>
        </w:tc>
        <w:tc>
          <w:tcPr/>
          <w:p>
            <w:pPr>
              <w:pStyle w:val="Compact"/>
            </w:pPr>
            <w:r>
              <w:rPr>
                <w:rFonts w:hint="eastAsia"/>
              </w:rPr>
              <w:t xml:space="preserve">金額(税別)</w:t>
            </w:r>
          </w:p>
        </w:tc>
      </w:tr>
      <w:tr>
        <w:tc>
          <w:tcPr/>
          <w:p>
            <w:pPr>
              <w:pStyle w:val="Compact"/>
            </w:pPr>
            <w:r>
              <w:rPr>
                <w:rFonts w:hint="eastAsia"/>
              </w:rPr>
              <w:t xml:space="preserve">[品名]</w:t>
            </w:r>
          </w:p>
        </w:tc>
        <w:tc>
          <w:tcPr/>
          <w:p>
            <w:pPr>
              <w:pStyle w:val="Compact"/>
            </w:pPr>
            <w:r>
              <w:rPr>
                <w:rFonts w:hint="eastAsia"/>
              </w:rPr>
              <w:t xml:space="preserve">[仕様]</w:t>
            </w:r>
          </w:p>
        </w:tc>
        <w:tc>
          <w:tcPr/>
          <w:p>
            <w:pPr>
              <w:pStyle w:val="Compact"/>
            </w:pPr>
            <w:r>
              <w:rPr>
                <w:rFonts w:hint="eastAsia"/>
              </w:rPr>
              <w:t xml:space="preserve">[数量]</w:t>
            </w:r>
          </w:p>
        </w:tc>
        <w:tc>
          <w:tcPr/>
          <w:p>
            <w:pPr>
              <w:pStyle w:val="Compact"/>
            </w:pPr>
            <w:r>
              <w:rPr>
                <w:rFonts w:hint="eastAsia"/>
              </w:rPr>
              <w:t xml:space="preserve">[単価]</w:t>
            </w:r>
          </w:p>
        </w:tc>
        <w:tc>
          <w:tcPr/>
          <w:p>
            <w:pPr>
              <w:pStyle w:val="Compact"/>
            </w:pPr>
            <w:r>
              <w:rPr>
                <w:rFonts w:hint="eastAsia"/>
              </w:rPr>
              <w:t xml:space="preserve">[金額]</w:t>
            </w:r>
          </w:p>
        </w:tc>
      </w:tr>
      <w:tr>
        <w:tc>
          <w:tcPr/>
          <w:p>
            <w:pPr>
              <w:pStyle w:val="Compact"/>
            </w:pPr>
            <w:r>
              <w:rPr>
                <w:rFonts w:hint="eastAsia"/>
              </w:rPr>
              <w:t xml:space="preserve">[品名]</w:t>
            </w:r>
          </w:p>
        </w:tc>
        <w:tc>
          <w:tcPr/>
          <w:p>
            <w:pPr>
              <w:pStyle w:val="Compact"/>
            </w:pPr>
            <w:r>
              <w:rPr>
                <w:rFonts w:hint="eastAsia"/>
              </w:rPr>
              <w:t xml:space="preserve">[仕様]</w:t>
            </w:r>
          </w:p>
        </w:tc>
        <w:tc>
          <w:tcPr/>
          <w:p>
            <w:pPr>
              <w:pStyle w:val="Compact"/>
            </w:pPr>
            <w:r>
              <w:rPr>
                <w:rFonts w:hint="eastAsia"/>
              </w:rPr>
              <w:t xml:space="preserve">[数量]</w:t>
            </w:r>
          </w:p>
        </w:tc>
        <w:tc>
          <w:tcPr/>
          <w:p>
            <w:pPr>
              <w:pStyle w:val="Compact"/>
            </w:pPr>
            <w:r>
              <w:rPr>
                <w:rFonts w:hint="eastAsia"/>
              </w:rPr>
              <w:t xml:space="preserve">[単価]</w:t>
            </w:r>
          </w:p>
        </w:tc>
        <w:tc>
          <w:tcPr/>
          <w:p>
            <w:pPr>
              <w:pStyle w:val="Compact"/>
            </w:pPr>
            <w:r>
              <w:rPr>
                <w:rFonts w:hint="eastAsia"/>
              </w:rPr>
              <w:t xml:space="preserve">[金額]</w:t>
            </w:r>
          </w:p>
        </w:tc>
      </w:tr>
      <w:tr>
        <w:tc>
          <w:tcPr/>
          <w:p>
            <w:pPr>
              <w:pStyle w:val="Compact"/>
            </w:pPr>
          </w:p>
        </w:tc>
        <w:tc>
          <w:tcPr/>
          <w:p>
            <w:pPr>
              <w:pStyle w:val="Compact"/>
            </w:pPr>
          </w:p>
        </w:tc>
        <w:tc>
          <w:tcPr/>
          <w:p>
            <w:pPr>
              <w:pStyle w:val="Compact"/>
            </w:pPr>
            <w:r>
              <w:rPr>
                <w:rFonts w:hint="eastAsia"/>
                <w:b/>
                <w:bCs/>
              </w:rPr>
              <w:t xml:space="preserve">小計(税別)</w:t>
            </w:r>
          </w:p>
        </w:tc>
        <w:tc>
          <w:tcPr/>
          <w:p>
            <w:pPr>
              <w:pStyle w:val="Compact"/>
            </w:pPr>
          </w:p>
        </w:tc>
        <w:tc>
          <w:tcPr/>
          <w:p>
            <w:pPr>
              <w:pStyle w:val="Compact"/>
            </w:pPr>
            <w:r>
              <w:rPr>
                <w:rFonts w:hint="eastAsia"/>
                <w:b/>
                <w:bCs/>
              </w:rPr>
              <w:t xml:space="preserve">[金額]</w:t>
            </w:r>
          </w:p>
        </w:tc>
      </w:tr>
      <w:tr>
        <w:tc>
          <w:tcPr/>
          <w:p>
            <w:pPr>
              <w:pStyle w:val="Compact"/>
            </w:pPr>
          </w:p>
        </w:tc>
        <w:tc>
          <w:tcPr/>
          <w:p>
            <w:pPr>
              <w:pStyle w:val="Compact"/>
            </w:pPr>
          </w:p>
        </w:tc>
        <w:tc>
          <w:tcPr/>
          <w:p>
            <w:pPr>
              <w:pStyle w:val="Compact"/>
            </w:pPr>
            <w:r>
              <w:rPr>
                <w:rFonts w:hint="eastAsia"/>
                <w:b/>
                <w:bCs/>
              </w:rPr>
              <w:t xml:space="preserve">消費税</w:t>
            </w:r>
          </w:p>
        </w:tc>
        <w:tc>
          <w:tcPr/>
          <w:p>
            <w:pPr>
              <w:pStyle w:val="Compact"/>
            </w:pPr>
          </w:p>
        </w:tc>
        <w:tc>
          <w:tcPr/>
          <w:p>
            <w:pPr>
              <w:pStyle w:val="Compact"/>
            </w:pPr>
            <w:r>
              <w:rPr>
                <w:rFonts w:hint="eastAsia"/>
                <w:b/>
                <w:bCs/>
              </w:rPr>
              <w:t xml:space="preserve">[金額]</w:t>
            </w:r>
          </w:p>
        </w:tc>
      </w:tr>
      <w:tr>
        <w:tc>
          <w:tcPr/>
          <w:p>
            <w:pPr>
              <w:pStyle w:val="Compact"/>
            </w:pPr>
          </w:p>
        </w:tc>
        <w:tc>
          <w:tcPr/>
          <w:p>
            <w:pPr>
              <w:pStyle w:val="Compact"/>
            </w:pPr>
          </w:p>
        </w:tc>
        <w:tc>
          <w:tcPr/>
          <w:p>
            <w:pPr>
              <w:pStyle w:val="Compact"/>
            </w:pPr>
            <w:r>
              <w:rPr>
                <w:rFonts w:hint="eastAsia"/>
                <w:b/>
                <w:bCs/>
              </w:rPr>
              <w:t xml:space="preserve">合計(税込)</w:t>
            </w:r>
          </w:p>
        </w:tc>
        <w:tc>
          <w:tcPr/>
          <w:p>
            <w:pPr>
              <w:pStyle w:val="Compact"/>
            </w:pPr>
          </w:p>
        </w:tc>
        <w:tc>
          <w:tcPr/>
          <w:p>
            <w:pPr>
              <w:pStyle w:val="Compact"/>
            </w:pPr>
            <w:r>
              <w:rPr>
                <w:rFonts w:hint="eastAsia"/>
                <w:b/>
                <w:bCs/>
              </w:rPr>
              <w:t xml:space="preserve">[金額]</w:t>
            </w:r>
          </w:p>
        </w:tc>
      </w:tr>
    </w:tbl>
    <w:p>
      <w:pPr>
        <w:pStyle w:val="BodyText"/>
      </w:pPr>
      <w:r>
        <w:rPr>
          <w:rFonts w:hint="eastAsia"/>
          <w:b/>
          <w:bCs/>
        </w:rPr>
        <w:t xml:space="preserve">納期</w:t>
      </w:r>
      <w:r>
        <w:rPr>
          <w:rFonts w:hint="eastAsia"/>
        </w:rPr>
        <w:t xml:space="preserve">:[YYYY年MM月DD日]</w:t>
      </w:r>
      <w:r>
        <w:t xml:space="preserve"> </w:t>
      </w:r>
      <w:r>
        <w:rPr>
          <w:rFonts w:hint="eastAsia"/>
          <w:b/>
          <w:bCs/>
        </w:rPr>
        <w:t xml:space="preserve">納入場所</w:t>
      </w:r>
      <w:r>
        <w:rPr>
          <w:rFonts w:hint="eastAsia"/>
        </w:rPr>
        <w:t xml:space="preserve">:[納入場所]</w:t>
      </w:r>
      <w:r>
        <w:t xml:space="preserve"> </w:t>
      </w:r>
      <w:r>
        <w:rPr>
          <w:rFonts w:hint="eastAsia"/>
          <w:b/>
          <w:bCs/>
        </w:rPr>
        <w:t xml:space="preserve">支払条件</w:t>
      </w:r>
      <w:r>
        <w:rPr>
          <w:rFonts w:hint="eastAsia"/>
        </w:rPr>
        <w:t xml:space="preserve">:取引基本契約書第8条による</w:t>
      </w:r>
    </w:p>
    <w:p>
      <w:pPr>
        <w:pStyle w:val="BodyText"/>
      </w:pPr>
      <w:r>
        <w:rPr>
          <w:rFonts w:hint="eastAsia"/>
        </w:rPr>
        <w:t xml:space="preserve">(本注文書は取引基本契約書に基づく個別契約として効力を有する。)</w:t>
      </w:r>
    </w:p>
    <w:p>
      <w:r>
        <w:pict>
          <v:rect style="width:0;height:1.5pt" o:hralign="center" o:hrstd="t" o:hr="t"/>
        </w:pict>
      </w:r>
    </w:p>
    <w:bookmarkEnd w:id="40"/>
    <w:bookmarkStart w:id="42" w:name="印紙税について"/>
    <w:p>
      <w:pPr>
        <w:pStyle w:val="Heading2"/>
      </w:pPr>
      <w:r>
        <w:rPr>
          <w:rFonts w:hint="eastAsia"/>
        </w:rPr>
        <w:t xml:space="preserve">印紙税について</w:t>
      </w:r>
    </w:p>
    <w:p>
      <w:pPr>
        <w:pStyle w:val="FirstParagraph"/>
      </w:pPr>
      <w:r>
        <w:rPr>
          <w:rFonts w:hint="eastAsia"/>
        </w:rPr>
        <w:t xml:space="preserve">本契約書(取引基本契約書)は、印紙税法上の</w:t>
      </w:r>
      <w:r>
        <w:rPr>
          <w:rFonts w:hint="eastAsia"/>
          <w:b/>
          <w:bCs/>
        </w:rPr>
        <w:t xml:space="preserve">第7号文書(継続的取引の基本となる契約書)</w:t>
      </w:r>
      <w:r>
        <w:rPr>
          <w:rFonts w:hint="eastAsia"/>
        </w:rPr>
        <w:t xml:space="preserve">に該当する場合、契約金額にかかわらず</w:t>
      </w:r>
      <w:r>
        <w:rPr>
          <w:rFonts w:hint="eastAsia"/>
          <w:b/>
          <w:bCs/>
        </w:rPr>
        <w:t xml:space="preserve">一律4,000円</w:t>
      </w:r>
      <w:r>
        <w:rPr>
          <w:rFonts w:hint="eastAsia"/>
        </w:rPr>
        <w:t xml:space="preserve">の印紙が必要です。</w:t>
      </w:r>
    </w:p>
    <w:p>
      <w:pPr>
        <w:pStyle w:val="BodyText"/>
      </w:pPr>
      <w:r>
        <w:rPr>
          <w:rFonts w:hint="eastAsia"/>
        </w:rPr>
        <w:t xml:space="preserve">第7号文書の主な要件:</w:t>
      </w:r>
      <w:r>
        <w:t xml:space="preserve"> </w:t>
      </w:r>
      <w:r>
        <w:t xml:space="preserve">- </w:t>
      </w:r>
      <w:r>
        <w:rPr>
          <w:rFonts w:hint="eastAsia"/>
        </w:rPr>
        <w:t xml:space="preserve">営業者の間における継続的取引の基本契約書</w:t>
      </w:r>
      <w:r>
        <w:t xml:space="preserve"> </w:t>
      </w:r>
      <w:r>
        <w:t xml:space="preserve">- </w:t>
      </w:r>
      <w:r>
        <w:rPr>
          <w:rFonts w:hint="eastAsia"/>
        </w:rPr>
        <w:t xml:space="preserve">売買、売買の委託、運送、運送取扱い、請負のいずれかに関する契約書</w:t>
      </w:r>
      <w:r>
        <w:t xml:space="preserve"> </w:t>
      </w:r>
      <w:r>
        <w:t xml:space="preserve">- </w:t>
      </w:r>
      <w:r>
        <w:rPr>
          <w:rFonts w:hint="eastAsia"/>
        </w:rPr>
        <w:t xml:space="preserve">2以上の取引を継続する旨を定めるもの</w:t>
      </w:r>
      <w:r>
        <w:t xml:space="preserve"> </w:t>
      </w:r>
      <w:r>
        <w:t xml:space="preserve">- </w:t>
      </w:r>
      <w:r>
        <w:rPr>
          <w:rFonts w:hint="eastAsia"/>
        </w:rPr>
        <w:t xml:space="preserve">契約期間が3か月超か、更新の定めがあるもの</w:t>
      </w:r>
      <w:r>
        <w:t xml:space="preserve"> </w:t>
      </w:r>
      <w:r>
        <w:t xml:space="preserve">- </w:t>
      </w:r>
      <w:r>
        <w:rPr>
          <w:rFonts w:hint="eastAsia"/>
        </w:rPr>
        <w:t xml:space="preserve">単価、対価の支払方法、債務不履行時の損害賠償等を定めるもの</w:t>
      </w:r>
    </w:p>
    <w:p>
      <w:pPr>
        <w:pStyle w:val="BodyText"/>
      </w:pPr>
      <w:r>
        <w:rPr>
          <w:rFonts w:hint="eastAsia"/>
        </w:rPr>
        <w:t xml:space="preserve">本テンプレートは上記の要件をほぼ満たすため、紙で締結する場合は第7号文書として4,000円の印紙が必要となる可能性が高いです。</w:t>
      </w:r>
    </w:p>
    <w:bookmarkStart w:id="41" w:name="電子契約なら印紙税ゼロ"/>
    <w:p>
      <w:pPr>
        <w:pStyle w:val="Heading3"/>
      </w:pPr>
      <w:r>
        <w:rPr>
          <w:rFonts w:hint="eastAsia"/>
        </w:rPr>
        <w:t xml:space="preserve">電子契約なら印紙税ゼロ</w:t>
      </w:r>
    </w:p>
    <w:p>
      <w:pPr>
        <w:pStyle w:val="FirstParagraph"/>
      </w:pPr>
      <w:r>
        <w:rPr>
          <w:rFonts w:hint="eastAsia"/>
        </w:rPr>
        <w:t xml:space="preserve">本契約書を</w:t>
      </w:r>
      <w:r>
        <w:rPr>
          <w:rFonts w:hint="eastAsia"/>
          <w:b/>
          <w:bCs/>
        </w:rPr>
        <w:t xml:space="preserve">電子契約(電磁的記録)で締結する場合、印紙税は一切かかりません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取引先数が多い企業ほど、電子契約による印紙税削減効果は大きくなります。たとえば100社と基本契約を結ぶ場合、印紙税だけで40万円(更新時にも同額)が削減できます。</w:t>
      </w:r>
    </w:p>
    <w:p>
      <w:r>
        <w:pict>
          <v:rect style="width:0;height:1.5pt" o:hralign="center" o:hrstd="t" o:hr="t"/>
        </w:pict>
      </w:r>
    </w:p>
    <w:bookmarkEnd w:id="41"/>
    <w:bookmarkEnd w:id="42"/>
    <w:bookmarkStart w:id="46" w:name="取引類型別のカスタマイズガイド"/>
    <w:p>
      <w:pPr>
        <w:pStyle w:val="Heading2"/>
      </w:pPr>
      <w:r>
        <w:rPr>
          <w:rFonts w:hint="eastAsia"/>
        </w:rPr>
        <w:t xml:space="preserve">取引類型別のカスタマイズガイド</w:t>
      </w:r>
    </w:p>
    <w:p>
      <w:pPr>
        <w:pStyle w:val="FirstParagraph"/>
      </w:pPr>
      <w:r>
        <w:rPr>
          <w:rFonts w:hint="eastAsia"/>
        </w:rPr>
        <w:t xml:space="preserve">本テンプレートは汎用設計のため、自社の取引類型に応じて以下のカスタマイズを推奨します。</w:t>
      </w:r>
    </w:p>
    <w:bookmarkStart w:id="43" w:name="売買中心の取引基本契約として使う場合"/>
    <w:p>
      <w:pPr>
        <w:pStyle w:val="Heading3"/>
      </w:pPr>
      <w:r>
        <w:rPr>
          <w:rFonts w:hint="eastAsia"/>
        </w:rPr>
        <w:t xml:space="preserve">売買中心の取引基本契約として使う場合</w:t>
      </w:r>
    </w:p>
    <w:p>
      <w:pPr>
        <w:pStyle w:val="Compact"/>
        <w:numPr>
          <w:ilvl w:val="0"/>
          <w:numId w:val="1026"/>
        </w:numPr>
      </w:pPr>
      <w:r>
        <w:rPr>
          <w:rFonts w:hint="eastAsia"/>
        </w:rPr>
        <w:t xml:space="preserve">第1条:目的を「商品の継続的売買」と明示</w:t>
      </w:r>
    </w:p>
    <w:p>
      <w:pPr>
        <w:pStyle w:val="Compact"/>
        <w:numPr>
          <w:ilvl w:val="0"/>
          <w:numId w:val="1026"/>
        </w:numPr>
      </w:pPr>
      <w:r>
        <w:rPr>
          <w:rFonts w:hint="eastAsia"/>
        </w:rPr>
        <w:t xml:space="preserve">第9条:所有権・危険負担の移転時期を強調(売買特有の論点)</w:t>
      </w:r>
    </w:p>
    <w:p>
      <w:pPr>
        <w:pStyle w:val="Compact"/>
        <w:numPr>
          <w:ilvl w:val="0"/>
          <w:numId w:val="1026"/>
        </w:numPr>
      </w:pPr>
      <w:r>
        <w:rPr>
          <w:rFonts w:hint="eastAsia"/>
        </w:rPr>
        <w:t xml:space="preserve">第10条:品質保証を厚く規定</w:t>
      </w:r>
    </w:p>
    <w:p>
      <w:pPr>
        <w:pStyle w:val="Compact"/>
        <w:numPr>
          <w:ilvl w:val="0"/>
          <w:numId w:val="1026"/>
        </w:numPr>
      </w:pPr>
      <w:r>
        <w:rPr>
          <w:rFonts w:hint="eastAsia"/>
        </w:rPr>
        <w:t xml:space="preserve">第14条(知的財産権の帰属):成果物がない場合は削除</w:t>
      </w:r>
    </w:p>
    <w:bookmarkEnd w:id="43"/>
    <w:bookmarkStart w:id="44" w:name="業務委託準委任中心の取引基本契約として使う場合"/>
    <w:p>
      <w:pPr>
        <w:pStyle w:val="Heading3"/>
      </w:pPr>
      <w:r>
        <w:rPr>
          <w:rFonts w:hint="eastAsia"/>
        </w:rPr>
        <w:t xml:space="preserve">業務委託・準委任中心の取引基本契約として使う場合</w:t>
      </w:r>
    </w:p>
    <w:p>
      <w:pPr>
        <w:pStyle w:val="Compact"/>
        <w:numPr>
          <w:ilvl w:val="0"/>
          <w:numId w:val="1027"/>
        </w:numPr>
      </w:pPr>
      <w:r>
        <w:rPr>
          <w:rFonts w:hint="eastAsia"/>
        </w:rPr>
        <w:t xml:space="preserve">第1条:目的を「業務の継続的委託」と明示</w:t>
      </w:r>
    </w:p>
    <w:p>
      <w:pPr>
        <w:pStyle w:val="Compact"/>
        <w:numPr>
          <w:ilvl w:val="0"/>
          <w:numId w:val="1027"/>
        </w:numPr>
      </w:pPr>
      <w:r>
        <w:rPr>
          <w:rFonts w:hint="eastAsia"/>
        </w:rPr>
        <w:t xml:space="preserve">第9条:所有権・危険負担条項を簡素化又は削除</w:t>
      </w:r>
    </w:p>
    <w:p>
      <w:pPr>
        <w:pStyle w:val="Compact"/>
        <w:numPr>
          <w:ilvl w:val="0"/>
          <w:numId w:val="1027"/>
        </w:numPr>
      </w:pPr>
      <w:r>
        <w:rPr>
          <w:rFonts w:hint="eastAsia"/>
        </w:rPr>
        <w:t xml:space="preserve">第14条:成果物がある場合は厚く規定、ない場合は削除</w:t>
      </w:r>
    </w:p>
    <w:p>
      <w:pPr>
        <w:pStyle w:val="Compact"/>
        <w:numPr>
          <w:ilvl w:val="0"/>
          <w:numId w:val="1027"/>
        </w:numPr>
      </w:pPr>
      <w:r>
        <w:rPr>
          <w:rFonts w:hint="eastAsia"/>
        </w:rPr>
        <w:t xml:space="preserve">第15条:再委託の取扱いを厚く規定</w:t>
      </w:r>
    </w:p>
    <w:bookmarkEnd w:id="44"/>
    <w:bookmarkStart w:id="45" w:name="請負中心の取引基本契約として使う場合"/>
    <w:p>
      <w:pPr>
        <w:pStyle w:val="Heading3"/>
      </w:pPr>
      <w:r>
        <w:rPr>
          <w:rFonts w:hint="eastAsia"/>
        </w:rPr>
        <w:t xml:space="preserve">請負中心の取引基本契約として使う場合</w:t>
      </w:r>
    </w:p>
    <w:p>
      <w:pPr>
        <w:pStyle w:val="Compact"/>
        <w:numPr>
          <w:ilvl w:val="0"/>
          <w:numId w:val="1028"/>
        </w:numPr>
      </w:pPr>
      <w:r>
        <w:rPr>
          <w:rFonts w:hint="eastAsia"/>
        </w:rPr>
        <w:t xml:space="preserve">第1条:目的を「業務の継続的請負」と明示</w:t>
      </w:r>
    </w:p>
    <w:p>
      <w:pPr>
        <w:pStyle w:val="Compact"/>
        <w:numPr>
          <w:ilvl w:val="0"/>
          <w:numId w:val="1028"/>
        </w:numPr>
      </w:pPr>
      <w:r>
        <w:rPr>
          <w:rFonts w:hint="eastAsia"/>
        </w:rPr>
        <w:t xml:space="preserve">第7条(検収):検収の精度を上げる</w:t>
      </w:r>
    </w:p>
    <w:p>
      <w:pPr>
        <w:pStyle w:val="Compact"/>
        <w:numPr>
          <w:ilvl w:val="0"/>
          <w:numId w:val="1028"/>
        </w:numPr>
      </w:pPr>
      <w:r>
        <w:rPr>
          <w:rFonts w:hint="eastAsia"/>
        </w:rPr>
        <w:t xml:space="preserve">第11条(契約不適合責任):期間・範囲を厚く規定</w:t>
      </w:r>
    </w:p>
    <w:p>
      <w:pPr>
        <w:pStyle w:val="Compact"/>
        <w:numPr>
          <w:ilvl w:val="0"/>
          <w:numId w:val="1028"/>
        </w:numPr>
      </w:pPr>
      <w:r>
        <w:rPr>
          <w:rFonts w:hint="eastAsia"/>
        </w:rPr>
        <w:t xml:space="preserve">第14条:知的財産権の帰属を厚く規定</w:t>
      </w:r>
    </w:p>
    <w:p>
      <w:r>
        <w:pict>
          <v:rect style="width:0;height:1.5pt" o:hralign="center" o:hrstd="t" o:hr="t"/>
        </w:pict>
      </w:r>
    </w:p>
    <w:bookmarkEnd w:id="45"/>
    <w:bookmarkEnd w:id="46"/>
    <w:bookmarkStart w:id="47" w:name="本テンプレート利用上の注意"/>
    <w:p>
      <w:pPr>
        <w:pStyle w:val="Heading2"/>
      </w:pPr>
      <w:r>
        <w:rPr>
          <w:rFonts w:hint="eastAsia"/>
        </w:rPr>
        <w:t xml:space="preserve">本テンプレート利用上の注意</w:t>
      </w:r>
    </w:p>
    <w:p>
      <w:pPr>
        <w:pStyle w:val="Compact"/>
        <w:numPr>
          <w:ilvl w:val="0"/>
          <w:numId w:val="1029"/>
        </w:numPr>
      </w:pPr>
      <w:r>
        <w:rPr>
          <w:rFonts w:hint="eastAsia"/>
        </w:rPr>
        <w:t xml:space="preserve">本テンプレートは継続的なBtoB取引の標準的な雛形です。取引類型(売買・業務委託・請負)に応じてカスタマイズしてください。</w:t>
      </w:r>
    </w:p>
    <w:p>
      <w:pPr>
        <w:pStyle w:val="Compact"/>
        <w:numPr>
          <w:ilvl w:val="0"/>
          <w:numId w:val="1029"/>
        </w:numPr>
      </w:pPr>
      <w:r>
        <w:rPr>
          <w:rFonts w:hint="eastAsia"/>
        </w:rPr>
        <w:t xml:space="preserve">個別契約(注文書・注文請書)と本基本契約の優劣関係(第3条第3項)は、自社のガバナンス方針に応じて選択してください。基本契約優先型・個別契約優先型のどちらが適するかは取引特性次第です。</w:t>
      </w:r>
    </w:p>
    <w:p>
      <w:pPr>
        <w:pStyle w:val="Compact"/>
        <w:numPr>
          <w:ilvl w:val="0"/>
          <w:numId w:val="1029"/>
        </w:numPr>
      </w:pPr>
      <w:r>
        <w:rPr>
          <w:rFonts w:hint="eastAsia"/>
        </w:rPr>
        <w:t xml:space="preserve">相手方が個人事業主(フリーランス)の場合、フリーランス新法の対象となります。取引条件明示・60日以内支払期日・7つの禁止行為遵守・6か月以上継続契約での30日前予告等の追加義務に注意してください。</w:t>
      </w:r>
    </w:p>
    <w:p>
      <w:pPr>
        <w:pStyle w:val="Compact"/>
        <w:numPr>
          <w:ilvl w:val="0"/>
          <w:numId w:val="1029"/>
        </w:numPr>
      </w:pPr>
      <w:r>
        <w:rPr>
          <w:rFonts w:hint="eastAsia"/>
        </w:rPr>
        <w:t xml:space="preserve">下請法対象取引(資本金規模により下請事業者該当)では、3条書面・5条書類の整備、60日以内の支払期日設定等を別途遵守してください。本テンプレートの第8条は60日以内の支払期日に対応した記載となっていますが、実際の運用が60日を超えないよう確認が必要です。</w:t>
      </w:r>
    </w:p>
    <w:p>
      <w:pPr>
        <w:pStyle w:val="Compact"/>
        <w:numPr>
          <w:ilvl w:val="0"/>
          <w:numId w:val="1029"/>
        </w:numPr>
      </w:pPr>
      <w:r>
        <w:rPr>
          <w:rFonts w:hint="eastAsia"/>
        </w:rPr>
        <w:t xml:space="preserve">損害賠償の上限(第22条)、契約不適合責任の期間(第11条)等は、案件の規模・リスク特性に応じて調整してください。</w:t>
      </w:r>
    </w:p>
    <w:p>
      <w:pPr>
        <w:pStyle w:val="Compact"/>
        <w:numPr>
          <w:ilvl w:val="0"/>
          <w:numId w:val="1029"/>
        </w:numPr>
      </w:pPr>
      <w:r>
        <w:rPr>
          <w:rFonts w:hint="eastAsia"/>
        </w:rPr>
        <w:t xml:space="preserve">競業避止条項(第16条)は不要な場合は削除可能です。</w:t>
      </w:r>
    </w:p>
    <w:p>
      <w:pPr>
        <w:pStyle w:val="Compact"/>
        <w:numPr>
          <w:ilvl w:val="0"/>
          <w:numId w:val="1029"/>
        </w:numPr>
      </w:pPr>
      <w:r>
        <w:rPr>
          <w:rFonts w:hint="eastAsia"/>
        </w:rPr>
        <w:t xml:space="preserve">海外取引基本契約として使用する場合は、準拠法・仲裁条項・為替リスク・輸出入規制等の追加検討が必要です。</w:t>
      </w:r>
    </w:p>
    <w:p>
      <w:pPr>
        <w:pStyle w:val="Compact"/>
        <w:numPr>
          <w:ilvl w:val="0"/>
          <w:numId w:val="1029"/>
        </w:numPr>
      </w:pPr>
      <w:r>
        <w:rPr>
          <w:rFonts w:hint="eastAsia"/>
        </w:rPr>
        <w:t xml:space="preserve">重要な基本契約や大型継続取引については、必ず弁護士等の専門家にご相談ください。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民法、商法、印紙税法、フリーランス新法、下請法、著作権法、製造物責任法その他関連法令に基づき、弁護士監修のもと作成しています。最新の法令解釈・印紙税率は、国税庁・公正取引委員会・法務省等の情報を参照してください。</w:t>
      </w:r>
    </w:p>
    <w:bookmarkEnd w:id="47"/>
    <w:bookmarkEnd w:id="4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1"/>
  </w:num>
  <w:num w:numId="1028">
    <w:abstractNumId w:val="991"/>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12392;&#12356;&#12358;&#12290;" TargetMode="External" /><Relationship Type="http://schemas.openxmlformats.org/officeDocument/2006/relationships/hyperlink" Id="rId9" Target="&#20197;&#19979;&#12300;&#30002;&#12301;&#12392;&#12356;&#12358;&#12290;"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12392;&#12356;&#12358;&#12290;" TargetMode="External" /><Relationship Type="http://schemas.openxmlformats.org/officeDocument/2006/relationships/hyperlink" Id="rId9" Target="&#20197;&#19979;&#12300;&#30002;&#12301;&#12392;&#12356;&#12358;&#122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2026-06-16T00:52:13Z</dcterms:created>
  <dcterms:modified xsi:type="dcterms:W3CDTF">2026-06-16T00:52:13Z</dcterms:modified>
</cp:coreProperties>
</file>

<file path=docProps/custom.xml><?xml version="1.0" encoding="utf-8"?>
<Properties xmlns="http://schemas.openxmlformats.org/officeDocument/2006/custom-properties" xmlns:vt="http://schemas.openxmlformats.org/officeDocument/2006/docPropsVTypes"/>
</file>