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請負契約書"/>
    <w:p>
      <w:pPr>
        <w:pStyle w:val="Heading1"/>
      </w:pPr>
      <w:r>
        <w:rPr>
          <w:rFonts w:hint="eastAsia"/>
        </w:rPr>
        <w:t xml:space="preserve">請負契約書</w:t>
      </w:r>
    </w:p>
    <w:p>
      <w:pPr>
        <w:pStyle w:val="BlockText"/>
      </w:pPr>
      <w:r>
        <w:rPr>
          <w:rFonts w:hint="eastAsia"/>
        </w:rPr>
        <w:t xml:space="preserve">※本テンプレートは弁護士監修ですが、個別案件に応じた修正が必要です。重要な契約は弁護士にご相談ください。</w:t>
      </w:r>
      <w:r>
        <w:t xml:space="preserve"> </w:t>
      </w:r>
      <w:r>
        <w:rPr>
          <w:rFonts w:hint="eastAsia"/>
        </w:rPr>
        <w:t xml:space="preserve">※2020年4月施行の改正民法(契約不適合責任)、2024年11月施行のフリーランス新法、建設業法等の最新法令に対応しています。</w:t>
      </w:r>
      <w:r>
        <w:t xml:space="preserve"> </w:t>
      </w:r>
      <w:r>
        <w:rPr>
          <w:rFonts w:hint="eastAsia"/>
        </w:rPr>
        <w:t xml:space="preserve">※建設工事・システム開発・制作物の各業種に共通して使える汎用設計です。業種特有の条項は本テンプレートをベースに追加してください。</w:t>
      </w:r>
    </w:p>
    <w:p>
      <w:r>
        <w:pict>
          <v:rect style="width:0;height:1.5pt" o:hralign="center" o:hrstd="t" o:hr="t"/>
        </w:pict>
      </w:r>
    </w:p>
    <w:bookmarkStart w:id="32" w:name="請負契約書-1"/>
    <w:p>
      <w:pPr>
        <w:pStyle w:val="Heading2"/>
      </w:pPr>
      <w:r>
        <w:rPr>
          <w:rFonts w:hint="eastAsia"/>
        </w:rPr>
        <w:t xml:space="preserve">請負契約書</w:t>
      </w:r>
    </w:p>
    <w:p>
      <w:pPr>
        <w:pStyle w:val="FirstParagraph"/>
      </w:pPr>
      <w:hyperlink r:id="rId9">
        <w:r>
          <w:rPr>
            <w:rStyle w:val="Hyperlink"/>
            <w:rFonts w:hint="eastAsia"/>
          </w:rPr>
          <w:t xml:space="preserve">甲の正式名称</w:t>
        </w:r>
      </w:hyperlink>
      <w:r>
        <w:t xml:space="preserve">と</w:t>
      </w:r>
      <w:hyperlink r:id="rId10">
        <w:r>
          <w:rPr>
            <w:rStyle w:val="Hyperlink"/>
            <w:rFonts w:hint="eastAsia"/>
          </w:rPr>
          <w:t xml:space="preserve">乙の正式名称</w:t>
        </w:r>
      </w:hyperlink>
      <w:r>
        <w:rPr>
          <w:rFonts w:hint="eastAsia"/>
        </w:rPr>
        <w:t xml:space="preserve">とは、甲が乙に対して以下に定める業務を委託し、乙がこれを請け負うことに関して、以下のとおり請負契約(以下「本契約」という。)を締結する。</w:t>
      </w:r>
    </w:p>
    <w:p>
      <w:r>
        <w:pict>
          <v:rect style="width:0;height:1.5pt" o:hralign="center" o:hrstd="t" o:hr="t"/>
        </w:pict>
      </w:r>
    </w:p>
    <w:bookmarkStart w:id="11" w:name="第1条目的"/>
    <w:p>
      <w:pPr>
        <w:pStyle w:val="Heading3"/>
      </w:pPr>
      <w:r>
        <w:rPr>
          <w:rFonts w:hint="eastAsia"/>
        </w:rPr>
        <w:t xml:space="preserve">第1条(目的)</w:t>
      </w:r>
    </w:p>
    <w:p>
      <w:pPr>
        <w:pStyle w:val="FirstParagraph"/>
      </w:pPr>
      <w:r>
        <w:rPr>
          <w:rFonts w:hint="eastAsia"/>
        </w:rPr>
        <w:t xml:space="preserve">甲は乙に対し、第3条に定める業務(以下「本件業務」という。)を委託し、乙はこれを請け負う。乙は、本件業務を完成させ、その成果物(以下「成果物」という。)を甲に引き渡すものとする。</w:t>
      </w:r>
    </w:p>
    <w:p>
      <w:r>
        <w:pict>
          <v:rect style="width:0;height:1.5pt" o:hralign="center" o:hrstd="t" o:hr="t"/>
        </w:pict>
      </w:r>
    </w:p>
    <w:bookmarkEnd w:id="11"/>
    <w:bookmarkStart w:id="12" w:name="第2条定義"/>
    <w:p>
      <w:pPr>
        <w:pStyle w:val="Heading3"/>
      </w:pPr>
      <w:r>
        <w:rPr>
          <w:rFonts w:hint="eastAsia"/>
        </w:rPr>
        <w:t xml:space="preserve">第2条(定義)</w:t>
      </w:r>
    </w:p>
    <w:p>
      <w:pPr>
        <w:pStyle w:val="FirstParagraph"/>
      </w:pPr>
      <w:r>
        <w:rPr>
          <w:rFonts w:hint="eastAsia"/>
        </w:rPr>
        <w:t xml:space="preserve">本契約において使用する用語の定義は、以下のとおりとする。</w:t>
      </w:r>
    </w:p>
    <w:p>
      <w:pPr>
        <w:pStyle w:val="Compact"/>
        <w:numPr>
          <w:ilvl w:val="0"/>
          <w:numId w:val="1001"/>
        </w:numPr>
      </w:pPr>
      <w:r>
        <w:rPr>
          <w:rFonts w:hint="eastAsia"/>
        </w:rPr>
        <w:t xml:space="preserve">「本件業務」とは、第3条に定める業務をいう。</w:t>
      </w:r>
    </w:p>
    <w:p>
      <w:pPr>
        <w:pStyle w:val="Compact"/>
        <w:numPr>
          <w:ilvl w:val="0"/>
          <w:numId w:val="1001"/>
        </w:numPr>
      </w:pPr>
      <w:r>
        <w:rPr>
          <w:rFonts w:hint="eastAsia"/>
        </w:rPr>
        <w:t xml:space="preserve">「成果物」とは、本件業務の遂行により乙が作成し、甲に引き渡すべき一切の物又は電磁的記録をいう。</w:t>
      </w:r>
    </w:p>
    <w:p>
      <w:pPr>
        <w:pStyle w:val="Compact"/>
        <w:numPr>
          <w:ilvl w:val="0"/>
          <w:numId w:val="1001"/>
        </w:numPr>
      </w:pPr>
      <w:r>
        <w:rPr>
          <w:rFonts w:hint="eastAsia"/>
        </w:rPr>
        <w:t xml:space="preserve">「仕様書」とは、本件業務及び成果物の仕様、内容、機能、品質、数量等を定めた別紙仕様書をいう。</w:t>
      </w:r>
    </w:p>
    <w:p>
      <w:pPr>
        <w:pStyle w:val="Compact"/>
        <w:numPr>
          <w:ilvl w:val="0"/>
          <w:numId w:val="1001"/>
        </w:numPr>
      </w:pPr>
      <w:r>
        <w:rPr>
          <w:rFonts w:hint="eastAsia"/>
        </w:rPr>
        <w:t xml:space="preserve">「検収」とは、甲が成果物の内容を検査し、仕様書に適合することを確認する行為をいう。</w:t>
      </w:r>
    </w:p>
    <w:p>
      <w:r>
        <w:pict>
          <v:rect style="width:0;height:1.5pt" o:hralign="center" o:hrstd="t" o:hr="t"/>
        </w:pict>
      </w:r>
    </w:p>
    <w:bookmarkEnd w:id="12"/>
    <w:bookmarkStart w:id="13" w:name="第3条委託業務の内容"/>
    <w:p>
      <w:pPr>
        <w:pStyle w:val="Heading3"/>
      </w:pPr>
      <w:r>
        <w:rPr>
          <w:rFonts w:hint="eastAsia"/>
        </w:rPr>
        <w:t xml:space="preserve">第3条(委託業務の内容)</w:t>
      </w:r>
    </w:p>
    <w:p>
      <w:pPr>
        <w:pStyle w:val="Compact"/>
        <w:numPr>
          <w:ilvl w:val="0"/>
          <w:numId w:val="1002"/>
        </w:numPr>
      </w:pPr>
      <w:r>
        <w:rPr>
          <w:rFonts w:hint="eastAsia"/>
        </w:rPr>
        <w:t xml:space="preserve">甲が乙に委託する本件業務の内容は、以下のとおりとする。</w:t>
      </w:r>
    </w:p>
    <w:p>
      <w:pPr>
        <w:pStyle w:val="Compact"/>
        <w:numPr>
          <w:ilvl w:val="1"/>
          <w:numId w:val="1003"/>
        </w:numPr>
      </w:pPr>
      <w:r>
        <w:rPr>
          <w:rFonts w:hint="eastAsia"/>
        </w:rPr>
        <w:t xml:space="preserve">業務名称:[業務名称を記載(例:○○システムの設計・開発、○○の制作、○○工事等)]</w:t>
      </w:r>
    </w:p>
    <w:p>
      <w:pPr>
        <w:pStyle w:val="Compact"/>
        <w:numPr>
          <w:ilvl w:val="1"/>
          <w:numId w:val="1003"/>
        </w:numPr>
      </w:pPr>
      <w:r>
        <w:rPr>
          <w:rFonts w:hint="eastAsia"/>
        </w:rPr>
        <w:t xml:space="preserve">業務内容:[業務内容を具体的に記載]</w:t>
      </w:r>
    </w:p>
    <w:p>
      <w:pPr>
        <w:pStyle w:val="Compact"/>
        <w:numPr>
          <w:ilvl w:val="1"/>
          <w:numId w:val="1003"/>
        </w:numPr>
      </w:pPr>
      <w:r>
        <w:rPr>
          <w:rFonts w:hint="eastAsia"/>
        </w:rPr>
        <w:t xml:space="preserve">成果物:[成果物の名称・形式・数量等を記載]</w:t>
      </w:r>
    </w:p>
    <w:p>
      <w:pPr>
        <w:pStyle w:val="Compact"/>
        <w:numPr>
          <w:ilvl w:val="1"/>
          <w:numId w:val="1003"/>
        </w:numPr>
      </w:pPr>
      <w:r>
        <w:rPr>
          <w:rFonts w:hint="eastAsia"/>
        </w:rPr>
        <w:t xml:space="preserve">その他の詳細:別紙仕様書のとおり</w:t>
      </w:r>
    </w:p>
    <w:p>
      <w:pPr>
        <w:pStyle w:val="Compact"/>
        <w:numPr>
          <w:ilvl w:val="0"/>
          <w:numId w:val="1002"/>
        </w:numPr>
      </w:pPr>
      <w:r>
        <w:rPr>
          <w:rFonts w:hint="eastAsia"/>
        </w:rPr>
        <w:t xml:space="preserve">別紙仕様書は、本契約の不可分の一部を構成する。</w:t>
      </w:r>
    </w:p>
    <w:p>
      <w:pPr>
        <w:pStyle w:val="Compact"/>
        <w:numPr>
          <w:ilvl w:val="0"/>
          <w:numId w:val="1002"/>
        </w:numPr>
      </w:pPr>
      <w:r>
        <w:rPr>
          <w:rFonts w:hint="eastAsia"/>
        </w:rPr>
        <w:t xml:space="preserve">仕様書の内容と本契約本文の内容に齟齬がある場合は、本契約本文の規定が優先する。</w:t>
      </w:r>
    </w:p>
    <w:p>
      <w:r>
        <w:pict>
          <v:rect style="width:0;height:1.5pt" o:hralign="center" o:hrstd="t" o:hr="t"/>
        </w:pict>
      </w:r>
    </w:p>
    <w:bookmarkEnd w:id="13"/>
    <w:bookmarkStart w:id="14" w:name="第4条履行期間納期"/>
    <w:p>
      <w:pPr>
        <w:pStyle w:val="Heading3"/>
      </w:pPr>
      <w:r>
        <w:rPr>
          <w:rFonts w:hint="eastAsia"/>
        </w:rPr>
        <w:t xml:space="preserve">第4条(履行期間・納期)</w:t>
      </w:r>
    </w:p>
    <w:p>
      <w:pPr>
        <w:pStyle w:val="Compact"/>
        <w:numPr>
          <w:ilvl w:val="0"/>
          <w:numId w:val="1004"/>
        </w:numPr>
      </w:pPr>
      <w:r>
        <w:rPr>
          <w:rFonts w:hint="eastAsia"/>
        </w:rPr>
        <w:t xml:space="preserve">本件業務の履行期間は、[YYYY年MM月DD日]から[YYYY年MM月DD日]までとする。</w:t>
      </w:r>
    </w:p>
    <w:p>
      <w:pPr>
        <w:pStyle w:val="Compact"/>
        <w:numPr>
          <w:ilvl w:val="0"/>
          <w:numId w:val="1004"/>
        </w:numPr>
      </w:pPr>
      <w:r>
        <w:rPr>
          <w:rFonts w:hint="eastAsia"/>
        </w:rPr>
        <w:t xml:space="preserve">乙は、[YYYY年MM月DD日]までに、成果物を甲の指定する場所及び方法により甲に納入する。</w:t>
      </w:r>
    </w:p>
    <w:p>
      <w:pPr>
        <w:pStyle w:val="Compact"/>
        <w:numPr>
          <w:ilvl w:val="0"/>
          <w:numId w:val="1004"/>
        </w:numPr>
      </w:pPr>
      <w:r>
        <w:rPr>
          <w:rFonts w:hint="eastAsia"/>
        </w:rPr>
        <w:t xml:space="preserve">乙は、自己の責に帰すべき事由により納期を遵守できないおそれがあるときは、直ちに甲に対して書面又は電磁的方法によりその旨を通知し、甲乙協議の上、納期の変更等の措置を講ずるものとする。</w:t>
      </w:r>
    </w:p>
    <w:p>
      <w:r>
        <w:pict>
          <v:rect style="width:0;height:1.5pt" o:hralign="center" o:hrstd="t" o:hr="t"/>
        </w:pict>
      </w:r>
    </w:p>
    <w:bookmarkEnd w:id="14"/>
    <w:bookmarkStart w:id="15" w:name="第5条請負代金及び支払条件"/>
    <w:p>
      <w:pPr>
        <w:pStyle w:val="Heading3"/>
      </w:pPr>
      <w:r>
        <w:rPr>
          <w:rFonts w:hint="eastAsia"/>
        </w:rPr>
        <w:t xml:space="preserve">第5条(請負代金及び支払条件)</w:t>
      </w:r>
    </w:p>
    <w:p>
      <w:pPr>
        <w:pStyle w:val="Compact"/>
        <w:numPr>
          <w:ilvl w:val="0"/>
          <w:numId w:val="1005"/>
        </w:numPr>
      </w:pPr>
      <w:r>
        <w:rPr>
          <w:rFonts w:hint="eastAsia"/>
        </w:rPr>
        <w:t xml:space="preserve">本件業務に対する請負代金は、金[○,○○○,○○○]円(税込)とする。</w:t>
      </w:r>
    </w:p>
    <w:p>
      <w:pPr>
        <w:pStyle w:val="Compact"/>
        <w:numPr>
          <w:ilvl w:val="0"/>
          <w:numId w:val="1005"/>
        </w:numPr>
      </w:pPr>
      <w:r>
        <w:rPr>
          <w:rFonts w:hint="eastAsia"/>
        </w:rPr>
        <w:t xml:space="preserve">甲は、第7条に定める検収完了後、乙からの適法な請求書受領日から[30]日以内(ただし、検収完了日から60日を超えない範囲)に、請負代金を乙の指定する金融機関の口座へ振込みにより支払う。振込手数料は甲の負担とする。</w:t>
      </w:r>
    </w:p>
    <w:p>
      <w:pPr>
        <w:pStyle w:val="Compact"/>
        <w:numPr>
          <w:ilvl w:val="0"/>
          <w:numId w:val="1005"/>
        </w:numPr>
      </w:pPr>
      <w:r>
        <w:rPr>
          <w:rFonts w:hint="eastAsia"/>
        </w:rPr>
        <w:t xml:space="preserve">業務内容に変更が生じた場合の追加報酬の有無及び金額については、甲乙協議の上、書面又は電磁的方法により合意して定める。</w:t>
      </w:r>
    </w:p>
    <w:p>
      <w:r>
        <w:pict>
          <v:rect style="width:0;height:1.5pt" o:hralign="center" o:hrstd="t" o:hr="t"/>
        </w:pict>
      </w:r>
    </w:p>
    <w:bookmarkEnd w:id="15"/>
    <w:bookmarkStart w:id="16" w:name="第6条納入及び引渡し"/>
    <w:p>
      <w:pPr>
        <w:pStyle w:val="Heading3"/>
      </w:pPr>
      <w:r>
        <w:rPr>
          <w:rFonts w:hint="eastAsia"/>
        </w:rPr>
        <w:t xml:space="preserve">第6条(納入及び引渡し)</w:t>
      </w:r>
    </w:p>
    <w:p>
      <w:pPr>
        <w:pStyle w:val="Compact"/>
        <w:numPr>
          <w:ilvl w:val="0"/>
          <w:numId w:val="1006"/>
        </w:numPr>
      </w:pPr>
      <w:r>
        <w:rPr>
          <w:rFonts w:hint="eastAsia"/>
        </w:rPr>
        <w:t xml:space="preserve">乙は、本件業務を完成させ、成果物を甲の指定する場所(物理的な場所又は電磁的方法による送信先)に納入するものとする。</w:t>
      </w:r>
    </w:p>
    <w:p>
      <w:pPr>
        <w:pStyle w:val="Compact"/>
        <w:numPr>
          <w:ilvl w:val="0"/>
          <w:numId w:val="1006"/>
        </w:numPr>
      </w:pPr>
      <w:r>
        <w:rPr>
          <w:rFonts w:hint="eastAsia"/>
        </w:rPr>
        <w:t xml:space="preserve">成果物の引渡しは、甲が第7条に定める検収を完了した時に行われたものとする。</w:t>
      </w:r>
    </w:p>
    <w:p>
      <w:pPr>
        <w:pStyle w:val="Compact"/>
        <w:numPr>
          <w:ilvl w:val="0"/>
          <w:numId w:val="1006"/>
        </w:numPr>
      </w:pPr>
      <w:r>
        <w:rPr>
          <w:rFonts w:hint="eastAsia"/>
        </w:rPr>
        <w:t xml:space="preserve">成果物の納入に要する費用は、別途合意がない限り乙の負担とする。</w:t>
      </w:r>
    </w:p>
    <w:p>
      <w:r>
        <w:pict>
          <v:rect style="width:0;height:1.5pt" o:hralign="center" o:hrstd="t" o:hr="t"/>
        </w:pict>
      </w:r>
    </w:p>
    <w:bookmarkEnd w:id="16"/>
    <w:bookmarkStart w:id="17" w:name="第7条検収"/>
    <w:p>
      <w:pPr>
        <w:pStyle w:val="Heading3"/>
      </w:pPr>
      <w:r>
        <w:rPr>
          <w:rFonts w:hint="eastAsia"/>
        </w:rPr>
        <w:t xml:space="preserve">第7条(検収)</w:t>
      </w:r>
    </w:p>
    <w:p>
      <w:pPr>
        <w:pStyle w:val="Compact"/>
        <w:numPr>
          <w:ilvl w:val="0"/>
          <w:numId w:val="1007"/>
        </w:numPr>
      </w:pPr>
      <w:r>
        <w:rPr>
          <w:rFonts w:hint="eastAsia"/>
        </w:rPr>
        <w:t xml:space="preserve">甲は、成果物の納入を受けた日から[14]日以内(以下「検収期間」という。)に、成果物が仕様書に適合しているかどうかを検査する。</w:t>
      </w:r>
    </w:p>
    <w:p>
      <w:pPr>
        <w:pStyle w:val="Compact"/>
        <w:numPr>
          <w:ilvl w:val="0"/>
          <w:numId w:val="1007"/>
        </w:numPr>
      </w:pPr>
      <w:r>
        <w:rPr>
          <w:rFonts w:hint="eastAsia"/>
        </w:rPr>
        <w:t xml:space="preserve">甲は、検収期間内に、成果物の合否を書面又は電磁的方法により乙に通知する。</w:t>
      </w:r>
    </w:p>
    <w:p>
      <w:pPr>
        <w:pStyle w:val="Compact"/>
        <w:numPr>
          <w:ilvl w:val="0"/>
          <w:numId w:val="1007"/>
        </w:numPr>
      </w:pPr>
      <w:r>
        <w:rPr>
          <w:rFonts w:hint="eastAsia"/>
        </w:rPr>
        <w:t xml:space="preserve">甲が検収期間内に前項の通知をしないときは、当該検収期間の満了をもって成果物が検収に合格したものとみなす。</w:t>
      </w:r>
    </w:p>
    <w:p>
      <w:pPr>
        <w:pStyle w:val="Compact"/>
        <w:numPr>
          <w:ilvl w:val="0"/>
          <w:numId w:val="1007"/>
        </w:numPr>
      </w:pPr>
      <w:r>
        <w:rPr>
          <w:rFonts w:hint="eastAsia"/>
        </w:rPr>
        <w:t xml:space="preserve">検収不合格の通知を受けた場合、乙は、甲が指定する期間内に、自己の費用と責任において、成果物を補修し、又は代替物を納入し、改めて検収を求めるものとする。</w:t>
      </w:r>
    </w:p>
    <w:p>
      <w:r>
        <w:pict>
          <v:rect style="width:0;height:1.5pt" o:hralign="center" o:hrstd="t" o:hr="t"/>
        </w:pict>
      </w:r>
    </w:p>
    <w:bookmarkEnd w:id="17"/>
    <w:bookmarkStart w:id="18" w:name="第8条契約不適合責任"/>
    <w:p>
      <w:pPr>
        <w:pStyle w:val="Heading3"/>
      </w:pPr>
      <w:r>
        <w:rPr>
          <w:rFonts w:hint="eastAsia"/>
        </w:rPr>
        <w:t xml:space="preserve">第8条(契約不適合責任)</w:t>
      </w:r>
    </w:p>
    <w:p>
      <w:pPr>
        <w:pStyle w:val="Compact"/>
        <w:numPr>
          <w:ilvl w:val="0"/>
          <w:numId w:val="1008"/>
        </w:numPr>
      </w:pPr>
      <w:r>
        <w:rPr>
          <w:rFonts w:hint="eastAsia"/>
        </w:rPr>
        <w:t xml:space="preserve">検収完了後[6]か月以内に、成果物に契約の内容に適合しない事項(以下「契約不適合」という。)が発見された場合、甲は乙に対し、相当の期間を定めて、目的物の修補、代替物の引渡し又は不足分の引渡しによる履行の追完を請求することができる。</w:t>
      </w:r>
    </w:p>
    <w:p>
      <w:pPr>
        <w:pStyle w:val="Compact"/>
        <w:numPr>
          <w:ilvl w:val="0"/>
          <w:numId w:val="1008"/>
        </w:numPr>
      </w:pPr>
      <w:r>
        <w:rPr>
          <w:rFonts w:hint="eastAsia"/>
        </w:rPr>
        <w:t xml:space="preserve">甲が前項に定める相当の期間内に履行の追完がないときは、その不適合の程度に応じて代金の減額を請求することができる。</w:t>
      </w:r>
    </w:p>
    <w:p>
      <w:pPr>
        <w:pStyle w:val="Compact"/>
        <w:numPr>
          <w:ilvl w:val="0"/>
          <w:numId w:val="1008"/>
        </w:numPr>
      </w:pPr>
      <w:r>
        <w:rPr>
          <w:rFonts w:hint="eastAsia"/>
        </w:rPr>
        <w:t xml:space="preserve">前各項にかかわらず、契約不適合が乙の責に帰すべき事由による場合、甲は乙に対し、これによって甲に生じた損害の賠償を請求することができる。</w:t>
      </w:r>
    </w:p>
    <w:p>
      <w:pPr>
        <w:pStyle w:val="Compact"/>
        <w:numPr>
          <w:ilvl w:val="0"/>
          <w:numId w:val="1008"/>
        </w:numPr>
      </w:pPr>
      <w:r>
        <w:rPr>
          <w:rFonts w:hint="eastAsia"/>
        </w:rPr>
        <w:t xml:space="preserve">契約不適合が甲の責に帰すべき事由によるものである場合、甲は前各項に定める請求をすることができない。</w:t>
      </w:r>
    </w:p>
    <w:p>
      <w:r>
        <w:pict>
          <v:rect style="width:0;height:1.5pt" o:hralign="center" o:hrstd="t" o:hr="t"/>
        </w:pict>
      </w:r>
    </w:p>
    <w:bookmarkEnd w:id="18"/>
    <w:bookmarkStart w:id="19" w:name="第9条知的財産権の帰属"/>
    <w:p>
      <w:pPr>
        <w:pStyle w:val="Heading3"/>
      </w:pPr>
      <w:r>
        <w:rPr>
          <w:rFonts w:hint="eastAsia"/>
        </w:rPr>
        <w:t xml:space="preserve">第9条(知的財産権の帰属)</w:t>
      </w:r>
    </w:p>
    <w:p>
      <w:pPr>
        <w:pStyle w:val="Compact"/>
        <w:numPr>
          <w:ilvl w:val="0"/>
          <w:numId w:val="1009"/>
        </w:numPr>
      </w:pPr>
      <w:r>
        <w:rPr>
          <w:rFonts w:hint="eastAsia"/>
        </w:rPr>
        <w:t xml:space="preserve">成果物に関する著作権(著作権法第27条及び第28条に定める権利を含む。)その他一切の知的財産権(ただし、本件業務遂行前から乙が有していた知的財産権及び汎用的な技術・ノウハウに係る権利を除く。)は、甲による請負代金の完済をもって、乙から甲に譲渡されるものとする。</w:t>
      </w:r>
    </w:p>
    <w:p>
      <w:pPr>
        <w:pStyle w:val="Compact"/>
        <w:numPr>
          <w:ilvl w:val="0"/>
          <w:numId w:val="1009"/>
        </w:numPr>
      </w:pPr>
      <w:r>
        <w:rPr>
          <w:rFonts w:hint="eastAsia"/>
        </w:rPr>
        <w:t xml:space="preserve">乙は、甲及び甲が指定する第三者に対し、成果物に関する著作者人格権を行使しない。</w:t>
      </w:r>
    </w:p>
    <w:p>
      <w:pPr>
        <w:pStyle w:val="Compact"/>
        <w:numPr>
          <w:ilvl w:val="0"/>
          <w:numId w:val="1009"/>
        </w:numPr>
      </w:pPr>
      <w:r>
        <w:rPr>
          <w:rFonts w:hint="eastAsia"/>
        </w:rPr>
        <w:t xml:space="preserve">第1項にかかわらず、乙が本件業務遂行前から有していた知的財産権及び汎用的な技術・ノウハウについては、乙に留保される。ただし、乙は甲に対し、成果物の利用に必要な範囲で、当該知的財産権の利用を許諾するものとする。</w:t>
      </w:r>
    </w:p>
    <w:p>
      <w:r>
        <w:pict>
          <v:rect style="width:0;height:1.5pt" o:hralign="center" o:hrstd="t" o:hr="t"/>
        </w:pict>
      </w:r>
    </w:p>
    <w:bookmarkEnd w:id="19"/>
    <w:bookmarkStart w:id="20" w:name="第10条再委託"/>
    <w:p>
      <w:pPr>
        <w:pStyle w:val="Heading3"/>
      </w:pPr>
      <w:r>
        <w:rPr>
          <w:rFonts w:hint="eastAsia"/>
        </w:rPr>
        <w:t xml:space="preserve">第10条(再委託)</w:t>
      </w:r>
    </w:p>
    <w:p>
      <w:pPr>
        <w:pStyle w:val="Compact"/>
        <w:numPr>
          <w:ilvl w:val="0"/>
          <w:numId w:val="1010"/>
        </w:numPr>
      </w:pPr>
      <w:r>
        <w:rPr>
          <w:rFonts w:hint="eastAsia"/>
        </w:rPr>
        <w:t xml:space="preserve">乙は、甲の事前の書面又は電磁的方法による承諾を得ることなく、本件業務の全部又は一部を第三者に再委託してはならない。</w:t>
      </w:r>
    </w:p>
    <w:p>
      <w:pPr>
        <w:pStyle w:val="Compact"/>
        <w:numPr>
          <w:ilvl w:val="0"/>
          <w:numId w:val="1010"/>
        </w:numPr>
      </w:pPr>
      <w:r>
        <w:rPr>
          <w:rFonts w:hint="eastAsia"/>
        </w:rPr>
        <w:t xml:space="preserve">乙が前項に基づき再委託する場合、乙は、再委託先に対し、本契約に基づき乙が負うのと同等の義務を遵守させるものとし、再委託先の行為について甲に対し責任を負う。</w:t>
      </w:r>
    </w:p>
    <w:p>
      <w:r>
        <w:pict>
          <v:rect style="width:0;height:1.5pt" o:hralign="center" o:hrstd="t" o:hr="t"/>
        </w:pict>
      </w:r>
    </w:p>
    <w:bookmarkEnd w:id="20"/>
    <w:bookmarkStart w:id="21" w:name="第11条秘密保持"/>
    <w:p>
      <w:pPr>
        <w:pStyle w:val="Heading3"/>
      </w:pPr>
      <w:r>
        <w:rPr>
          <w:rFonts w:hint="eastAsia"/>
        </w:rPr>
        <w:t xml:space="preserve">第11条(秘密保持)</w:t>
      </w:r>
    </w:p>
    <w:p>
      <w:pPr>
        <w:pStyle w:val="Compact"/>
        <w:numPr>
          <w:ilvl w:val="0"/>
          <w:numId w:val="1011"/>
        </w:numPr>
      </w:pPr>
      <w:r>
        <w:rPr>
          <w:rFonts w:hint="eastAsia"/>
        </w:rPr>
        <w:t xml:space="preserve">甲及び乙は、本契約の履行に関連して相手方から開示を受け、又は知り得た一切の情報(以下「秘密情報」という。)を、相手方の事前の書面又は電磁的方法による承諾なくして、第三者に開示又は漏洩してはならず、また、本契約の履行以外の目的に使用してはならない。</w:t>
      </w:r>
    </w:p>
    <w:p>
      <w:pPr>
        <w:pStyle w:val="Compact"/>
        <w:numPr>
          <w:ilvl w:val="0"/>
          <w:numId w:val="1011"/>
        </w:numPr>
      </w:pPr>
      <w:r>
        <w:rPr>
          <w:rFonts w:hint="eastAsia"/>
        </w:rPr>
        <w:t xml:space="preserve">前項の規定にかかわらず、以下の各号のいずれかに該当する情報は、秘密情報に該当しないものとする。</w:t>
      </w:r>
    </w:p>
    <w:p>
      <w:pPr>
        <w:pStyle w:val="Compact"/>
        <w:numPr>
          <w:ilvl w:val="1"/>
          <w:numId w:val="1012"/>
        </w:numPr>
      </w:pPr>
      <w:r>
        <w:rPr>
          <w:rFonts w:hint="eastAsia"/>
        </w:rPr>
        <w:t xml:space="preserve">開示の時点で既に公知である情報</w:t>
      </w:r>
    </w:p>
    <w:p>
      <w:pPr>
        <w:pStyle w:val="Compact"/>
        <w:numPr>
          <w:ilvl w:val="1"/>
          <w:numId w:val="1012"/>
        </w:numPr>
      </w:pPr>
      <w:r>
        <w:rPr>
          <w:rFonts w:hint="eastAsia"/>
        </w:rPr>
        <w:t xml:space="preserve">開示後に自己の責によらず公知となった情報</w:t>
      </w:r>
    </w:p>
    <w:p>
      <w:pPr>
        <w:pStyle w:val="Compact"/>
        <w:numPr>
          <w:ilvl w:val="1"/>
          <w:numId w:val="1012"/>
        </w:numPr>
      </w:pPr>
      <w:r>
        <w:rPr>
          <w:rFonts w:hint="eastAsia"/>
        </w:rPr>
        <w:t xml:space="preserve">開示の時点で既に自己が正当に保有していた情報</w:t>
      </w:r>
    </w:p>
    <w:p>
      <w:pPr>
        <w:pStyle w:val="Compact"/>
        <w:numPr>
          <w:ilvl w:val="1"/>
          <w:numId w:val="1012"/>
        </w:numPr>
      </w:pPr>
      <w:r>
        <w:rPr>
          <w:rFonts w:hint="eastAsia"/>
        </w:rPr>
        <w:t xml:space="preserve">正当な権限を有する第三者から守秘義務を負うことなく適法に取得した情報</w:t>
      </w:r>
    </w:p>
    <w:p>
      <w:pPr>
        <w:pStyle w:val="Compact"/>
        <w:numPr>
          <w:ilvl w:val="1"/>
          <w:numId w:val="1012"/>
        </w:numPr>
      </w:pPr>
      <w:r>
        <w:rPr>
          <w:rFonts w:hint="eastAsia"/>
        </w:rPr>
        <w:t xml:space="preserve">相手方から開示を受けた情報によらず独自に開発した情報</w:t>
      </w:r>
    </w:p>
    <w:p>
      <w:pPr>
        <w:pStyle w:val="Compact"/>
        <w:numPr>
          <w:ilvl w:val="0"/>
          <w:numId w:val="1011"/>
        </w:numPr>
      </w:pPr>
      <w:r>
        <w:rPr>
          <w:rFonts w:hint="eastAsia"/>
        </w:rPr>
        <w:t xml:space="preserve">本条の規定は、本契約終了後も[3]年間有効に存続する。</w:t>
      </w:r>
    </w:p>
    <w:p>
      <w:r>
        <w:pict>
          <v:rect style="width:0;height:1.5pt" o:hralign="center" o:hrstd="t" o:hr="t"/>
        </w:pict>
      </w:r>
    </w:p>
    <w:bookmarkEnd w:id="21"/>
    <w:bookmarkStart w:id="22" w:name="第12条個人情報の取扱い"/>
    <w:p>
      <w:pPr>
        <w:pStyle w:val="Heading3"/>
      </w:pPr>
      <w:r>
        <w:rPr>
          <w:rFonts w:hint="eastAsia"/>
        </w:rPr>
        <w:t xml:space="preserve">第12条(個人情報の取扱い)</w:t>
      </w:r>
    </w:p>
    <w:p>
      <w:pPr>
        <w:pStyle w:val="Compact"/>
        <w:numPr>
          <w:ilvl w:val="0"/>
          <w:numId w:val="1013"/>
        </w:numPr>
      </w:pPr>
      <w:r>
        <w:rPr>
          <w:rFonts w:hint="eastAsia"/>
        </w:rPr>
        <w:t xml:space="preserve">乙は、本件業務において個人情報の保護に関する法律に定める個人情報を取り扱う場合、同法その他関係法令及び甲が別途定める個人情報取扱規程を遵守し、適切な安全管理措置を講じるものとする。</w:t>
      </w:r>
    </w:p>
    <w:p>
      <w:pPr>
        <w:pStyle w:val="Compact"/>
        <w:numPr>
          <w:ilvl w:val="0"/>
          <w:numId w:val="1013"/>
        </w:numPr>
      </w:pPr>
      <w:r>
        <w:rPr>
          <w:rFonts w:hint="eastAsia"/>
        </w:rPr>
        <w:t xml:space="preserve">乙は、甲の事前の書面又は電磁的方法による承諾なく、個人情報を本契約の履行以外の目的に使用し、又は第三者に提供してはならない。</w:t>
      </w:r>
    </w:p>
    <w:p>
      <w:r>
        <w:pict>
          <v:rect style="width:0;height:1.5pt" o:hralign="center" o:hrstd="t" o:hr="t"/>
        </w:pict>
      </w:r>
    </w:p>
    <w:bookmarkEnd w:id="22"/>
    <w:bookmarkStart w:id="23" w:name="第13条反社会的勢力の排除"/>
    <w:p>
      <w:pPr>
        <w:pStyle w:val="Heading3"/>
      </w:pPr>
      <w:r>
        <w:rPr>
          <w:rFonts w:hint="eastAsia"/>
        </w:rPr>
        <w:t xml:space="preserve">第13条(反社会的勢力の排除)</w:t>
      </w:r>
    </w:p>
    <w:p>
      <w:pPr>
        <w:pStyle w:val="Compact"/>
        <w:numPr>
          <w:ilvl w:val="0"/>
          <w:numId w:val="1014"/>
        </w:numPr>
      </w:pPr>
      <w:r>
        <w:rPr>
          <w:rFonts w:hint="eastAsia"/>
        </w:rPr>
        <w:t xml:space="preserve">甲及び乙は、自己又は自己の役員若しくは従業員が、暴力団、暴力団員、暴力団員でなくなった時から5年を経過しない者、暴力団準構成員、暴力団関係企業、総会屋、社会運動等標ぼうゴロ、特殊知能暴力集団、その他これらに準ずる者(以下「反社会的勢力」という。)に該当しないこと、及び反社会的勢力と社会的に非難されるべき関係を有しないことを表明し、確約する。</w:t>
      </w:r>
    </w:p>
    <w:p>
      <w:pPr>
        <w:pStyle w:val="Compact"/>
        <w:numPr>
          <w:ilvl w:val="0"/>
          <w:numId w:val="1014"/>
        </w:numPr>
      </w:pPr>
      <w:r>
        <w:rPr>
          <w:rFonts w:hint="eastAsia"/>
        </w:rPr>
        <w:t xml:space="preserve">甲又は乙は、相手方が前項に違反した場合、何らの催告を要せず、直ちに本契約を解除することができる。</w:t>
      </w:r>
    </w:p>
    <w:p>
      <w:pPr>
        <w:pStyle w:val="Compact"/>
        <w:numPr>
          <w:ilvl w:val="0"/>
          <w:numId w:val="1014"/>
        </w:numPr>
      </w:pPr>
      <w:r>
        <w:rPr>
          <w:rFonts w:hint="eastAsia"/>
        </w:rPr>
        <w:t xml:space="preserve">前項により本契約を解除した場合、解除した当事者は、解除によって相手方に生じた損害について賠償する責任を負わない。</w:t>
      </w:r>
    </w:p>
    <w:p>
      <w:r>
        <w:pict>
          <v:rect style="width:0;height:1.5pt" o:hralign="center" o:hrstd="t" o:hr="t"/>
        </w:pict>
      </w:r>
    </w:p>
    <w:bookmarkEnd w:id="23"/>
    <w:bookmarkStart w:id="24" w:name="第14条解除"/>
    <w:p>
      <w:pPr>
        <w:pStyle w:val="Heading3"/>
      </w:pPr>
      <w:r>
        <w:rPr>
          <w:rFonts w:hint="eastAsia"/>
        </w:rPr>
        <w:t xml:space="preserve">第14条(解除)</w:t>
      </w:r>
    </w:p>
    <w:p>
      <w:pPr>
        <w:pStyle w:val="Compact"/>
        <w:numPr>
          <w:ilvl w:val="0"/>
          <w:numId w:val="1015"/>
        </w:numPr>
      </w:pPr>
      <w:r>
        <w:rPr>
          <w:rFonts w:hint="eastAsia"/>
        </w:rPr>
        <w:t xml:space="preserve">甲又は乙は、相手方が本契約の各条項に違反し、相当の期間を定めて是正を催告したにもかかわらず、当該期間内に是正されない場合、本契約を解除することができる。</w:t>
      </w:r>
    </w:p>
    <w:p>
      <w:pPr>
        <w:pStyle w:val="Compact"/>
        <w:numPr>
          <w:ilvl w:val="0"/>
          <w:numId w:val="1015"/>
        </w:numPr>
      </w:pPr>
      <w:r>
        <w:rPr>
          <w:rFonts w:hint="eastAsia"/>
        </w:rPr>
        <w:t xml:space="preserve">甲又は乙は、相手方が以下の各号のいずれかに該当した場合、何らの催告なく直ちに本契約の全部又は一部を解除することができる。</w:t>
      </w:r>
    </w:p>
    <w:p>
      <w:pPr>
        <w:pStyle w:val="Compact"/>
        <w:numPr>
          <w:ilvl w:val="1"/>
          <w:numId w:val="1016"/>
        </w:numPr>
      </w:pPr>
      <w:r>
        <w:rPr>
          <w:rFonts w:hint="eastAsia"/>
        </w:rPr>
        <w:t xml:space="preserve">支払停止又は支払不能の状態に陥ったとき</w:t>
      </w:r>
    </w:p>
    <w:p>
      <w:pPr>
        <w:pStyle w:val="Compact"/>
        <w:numPr>
          <w:ilvl w:val="1"/>
          <w:numId w:val="1016"/>
        </w:numPr>
      </w:pPr>
      <w:r>
        <w:rPr>
          <w:rFonts w:hint="eastAsia"/>
        </w:rPr>
        <w:t xml:space="preserve">破産手続開始、民事再生手続開始、会社更生手続開始、特別清算開始の申立てを行ったとき、又はこれらの申立てがなされたとき</w:t>
      </w:r>
    </w:p>
    <w:p>
      <w:pPr>
        <w:pStyle w:val="Compact"/>
        <w:numPr>
          <w:ilvl w:val="1"/>
          <w:numId w:val="1016"/>
        </w:numPr>
      </w:pPr>
      <w:r>
        <w:rPr>
          <w:rFonts w:hint="eastAsia"/>
        </w:rPr>
        <w:t xml:space="preserve">手形又は小切手の不渡りを出したとき</w:t>
      </w:r>
    </w:p>
    <w:p>
      <w:pPr>
        <w:pStyle w:val="Compact"/>
        <w:numPr>
          <w:ilvl w:val="1"/>
          <w:numId w:val="1016"/>
        </w:numPr>
      </w:pPr>
      <w:r>
        <w:rPr>
          <w:rFonts w:hint="eastAsia"/>
        </w:rPr>
        <w:t xml:space="preserve">差押え、仮差押え、仮処分、租税滞納処分その他公権力の処分を受けたとき</w:t>
      </w:r>
    </w:p>
    <w:p>
      <w:pPr>
        <w:pStyle w:val="Compact"/>
        <w:numPr>
          <w:ilvl w:val="1"/>
          <w:numId w:val="1016"/>
        </w:numPr>
      </w:pPr>
      <w:r>
        <w:rPr>
          <w:rFonts w:hint="eastAsia"/>
        </w:rPr>
        <w:t xml:space="preserve">解散の決議をしたとき、又は事業を廃止したとき</w:t>
      </w:r>
    </w:p>
    <w:p>
      <w:pPr>
        <w:pStyle w:val="Compact"/>
        <w:numPr>
          <w:ilvl w:val="1"/>
          <w:numId w:val="1016"/>
        </w:numPr>
      </w:pPr>
      <w:r>
        <w:rPr>
          <w:rFonts w:hint="eastAsia"/>
        </w:rPr>
        <w:t xml:space="preserve">その他本契約を継続することが困難と認められる重大な事由が発生したとき</w:t>
      </w:r>
    </w:p>
    <w:p>
      <w:pPr>
        <w:pStyle w:val="Compact"/>
        <w:numPr>
          <w:ilvl w:val="0"/>
          <w:numId w:val="1015"/>
        </w:numPr>
      </w:pPr>
      <w:r>
        <w:rPr>
          <w:rFonts w:hint="eastAsia"/>
        </w:rPr>
        <w:t xml:space="preserve">本条による契約解除は、解除した当事者の損害賠償請求を妨げない。</w:t>
      </w:r>
    </w:p>
    <w:p>
      <w:r>
        <w:pict>
          <v:rect style="width:0;height:1.5pt" o:hralign="center" o:hrstd="t" o:hr="t"/>
        </w:pict>
      </w:r>
    </w:p>
    <w:bookmarkEnd w:id="24"/>
    <w:bookmarkStart w:id="25" w:name="第15条損害賠償"/>
    <w:p>
      <w:pPr>
        <w:pStyle w:val="Heading3"/>
      </w:pPr>
      <w:r>
        <w:rPr>
          <w:rFonts w:hint="eastAsia"/>
        </w:rPr>
        <w:t xml:space="preserve">第15条(損害賠償)</w:t>
      </w:r>
    </w:p>
    <w:p>
      <w:pPr>
        <w:pStyle w:val="Compact"/>
        <w:numPr>
          <w:ilvl w:val="0"/>
          <w:numId w:val="1017"/>
        </w:numPr>
      </w:pPr>
      <w:r>
        <w:rPr>
          <w:rFonts w:hint="eastAsia"/>
        </w:rPr>
        <w:t xml:space="preserve">甲又は乙は、自己の責に帰すべき事由により本契約に違反し、相手方に損害を与えた場合、相手方に対し、当該損害(通常生ずべき損害に限り、逸失利益を含まない。)を賠償する責任を負う。</w:t>
      </w:r>
    </w:p>
    <w:p>
      <w:pPr>
        <w:pStyle w:val="Compact"/>
        <w:numPr>
          <w:ilvl w:val="0"/>
          <w:numId w:val="1017"/>
        </w:numPr>
      </w:pPr>
      <w:r>
        <w:rPr>
          <w:rFonts w:hint="eastAsia"/>
        </w:rPr>
        <w:t xml:space="preserve">前項に基づく損害賠償の総額は、賠償の原因となる事由が発生した時点までに支払われた又は支払われるべき請負代金の額を上限とする。ただし、損害が故意又は重大な過失に起因する場合はこの限りでない。</w:t>
      </w:r>
    </w:p>
    <w:p>
      <w:r>
        <w:pict>
          <v:rect style="width:0;height:1.5pt" o:hralign="center" o:hrstd="t" o:hr="t"/>
        </w:pict>
      </w:r>
    </w:p>
    <w:bookmarkEnd w:id="25"/>
    <w:bookmarkStart w:id="26" w:name="第16条不可抗力"/>
    <w:p>
      <w:pPr>
        <w:pStyle w:val="Heading3"/>
      </w:pPr>
      <w:r>
        <w:rPr>
          <w:rFonts w:hint="eastAsia"/>
        </w:rPr>
        <w:t xml:space="preserve">第16条(不可抗力)</w:t>
      </w:r>
    </w:p>
    <w:p>
      <w:pPr>
        <w:pStyle w:val="Compact"/>
        <w:numPr>
          <w:ilvl w:val="0"/>
          <w:numId w:val="1018"/>
        </w:numPr>
      </w:pPr>
      <w:r>
        <w:rPr>
          <w:rFonts w:hint="eastAsia"/>
        </w:rPr>
        <w:t xml:space="preserve">天災地変、戦争、内乱、暴動、テロ、感染症の流行、法令の改廃制定、公権力による命令処分、輸送機関の事故、その他甲乙いずれの責にも帰すことができない事由により、本契約の全部又は一部の履行が遅延又は不能となった場合、当該当事者はその責任を負わない。</w:t>
      </w:r>
    </w:p>
    <w:p>
      <w:pPr>
        <w:pStyle w:val="Compact"/>
        <w:numPr>
          <w:ilvl w:val="0"/>
          <w:numId w:val="1018"/>
        </w:numPr>
      </w:pPr>
      <w:r>
        <w:rPr>
          <w:rFonts w:hint="eastAsia"/>
        </w:rPr>
        <w:t xml:space="preserve">前項の事由が発生した場合、甲乙は速やかに相手方に通知し、本契約の継続、変更又は終了について誠実に協議するものとする。</w:t>
      </w:r>
    </w:p>
    <w:p>
      <w:r>
        <w:pict>
          <v:rect style="width:0;height:1.5pt" o:hralign="center" o:hrstd="t" o:hr="t"/>
        </w:pict>
      </w:r>
    </w:p>
    <w:bookmarkEnd w:id="26"/>
    <w:bookmarkStart w:id="27" w:name="第17条権利義務の譲渡禁止"/>
    <w:p>
      <w:pPr>
        <w:pStyle w:val="Heading3"/>
      </w:pPr>
      <w:r>
        <w:rPr>
          <w:rFonts w:hint="eastAsia"/>
        </w:rPr>
        <w:t xml:space="preserve">第17条(権利義務の譲渡禁止)</w:t>
      </w:r>
    </w:p>
    <w:p>
      <w:pPr>
        <w:pStyle w:val="FirstParagraph"/>
      </w:pPr>
      <w:r>
        <w:rPr>
          <w:rFonts w:hint="eastAsia"/>
        </w:rPr>
        <w:t xml:space="preserve">甲及び乙は、相手方の事前の書面又は電磁的方法による承諾なく、本契約上の地位又は本契約に基づく権利義務の全部又は一部を、第三者に譲渡し、承継させ、又は担保に供してはならない。</w:t>
      </w:r>
    </w:p>
    <w:p>
      <w:r>
        <w:pict>
          <v:rect style="width:0;height:1.5pt" o:hralign="center" o:hrstd="t" o:hr="t"/>
        </w:pict>
      </w:r>
    </w:p>
    <w:bookmarkEnd w:id="27"/>
    <w:bookmarkStart w:id="28" w:name="第18条契約期間及び有効性"/>
    <w:p>
      <w:pPr>
        <w:pStyle w:val="Heading3"/>
      </w:pPr>
      <w:r>
        <w:rPr>
          <w:rFonts w:hint="eastAsia"/>
        </w:rPr>
        <w:t xml:space="preserve">第18条(契約期間及び有効性)</w:t>
      </w:r>
    </w:p>
    <w:p>
      <w:pPr>
        <w:pStyle w:val="Compact"/>
        <w:numPr>
          <w:ilvl w:val="0"/>
          <w:numId w:val="1019"/>
        </w:numPr>
      </w:pPr>
      <w:r>
        <w:rPr>
          <w:rFonts w:hint="eastAsia"/>
        </w:rPr>
        <w:t xml:space="preserve">本契約は、第4条に定める履行期間中、有効に存続する。ただし、本件業務及び請負代金の支払いが完了するまで効力を有する。</w:t>
      </w:r>
    </w:p>
    <w:p>
      <w:pPr>
        <w:pStyle w:val="Compact"/>
        <w:numPr>
          <w:ilvl w:val="0"/>
          <w:numId w:val="1019"/>
        </w:numPr>
      </w:pPr>
      <w:r>
        <w:rPr>
          <w:rFonts w:hint="eastAsia"/>
        </w:rPr>
        <w:t xml:space="preserve">本契約終了後も、第8条(契約不適合責任)、第9条(知的財産権の帰属)、第11条(秘密保持)、第12条(個人情報の取扱い)、第15条(損害賠償)、第20条(合意管轄)、第21条(協議事項)の規定は引き続き有効とする。</w:t>
      </w:r>
    </w:p>
    <w:p>
      <w:r>
        <w:pict>
          <v:rect style="width:0;height:1.5pt" o:hralign="center" o:hrstd="t" o:hr="t"/>
        </w:pict>
      </w:r>
    </w:p>
    <w:bookmarkEnd w:id="28"/>
    <w:bookmarkStart w:id="29" w:name="第19条完全合意"/>
    <w:p>
      <w:pPr>
        <w:pStyle w:val="Heading3"/>
      </w:pPr>
      <w:r>
        <w:rPr>
          <w:rFonts w:hint="eastAsia"/>
        </w:rPr>
        <w:t xml:space="preserve">第19条(完全合意)</w:t>
      </w:r>
    </w:p>
    <w:p>
      <w:pPr>
        <w:pStyle w:val="FirstParagraph"/>
      </w:pPr>
      <w:r>
        <w:rPr>
          <w:rFonts w:hint="eastAsia"/>
        </w:rPr>
        <w:t xml:space="preserve">本契約は、本契約の主題に関する甲乙間の完全な合意を構成し、本契約締結以前に甲乙間でなされた一切の合意、表明、了解事項(口頭・書面を問わない。)に優先する。</w:t>
      </w:r>
    </w:p>
    <w:p>
      <w:r>
        <w:pict>
          <v:rect style="width:0;height:1.5pt" o:hralign="center" o:hrstd="t" o:hr="t"/>
        </w:pict>
      </w:r>
    </w:p>
    <w:bookmarkEnd w:id="29"/>
    <w:bookmarkStart w:id="30" w:name="第20条合意管轄"/>
    <w:p>
      <w:pPr>
        <w:pStyle w:val="Heading3"/>
      </w:pPr>
      <w:r>
        <w:rPr>
          <w:rFonts w:hint="eastAsia"/>
        </w:rPr>
        <w:t xml:space="preserve">第20条(合意管轄)</w:t>
      </w:r>
    </w:p>
    <w:p>
      <w:pPr>
        <w:pStyle w:val="FirstParagraph"/>
      </w:pPr>
      <w:r>
        <w:rPr>
          <w:rFonts w:hint="eastAsia"/>
        </w:rPr>
        <w:t xml:space="preserve">本契約に関して甲乙間に生じた一切の紛争については、[甲の本店所在地]を管轄する地方裁判所を第一審の専属的合意管轄裁判所とする。</w:t>
      </w:r>
    </w:p>
    <w:p>
      <w:r>
        <w:pict>
          <v:rect style="width:0;height:1.5pt" o:hralign="center" o:hrstd="t" o:hr="t"/>
        </w:pict>
      </w:r>
    </w:p>
    <w:bookmarkEnd w:id="30"/>
    <w:bookmarkStart w:id="31" w:name="第21条協議事項"/>
    <w:p>
      <w:pPr>
        <w:pStyle w:val="Heading3"/>
      </w:pPr>
      <w:r>
        <w:rPr>
          <w:rFonts w:hint="eastAsia"/>
        </w:rPr>
        <w:t xml:space="preserve">第21条(協議事項)</w:t>
      </w:r>
    </w:p>
    <w:p>
      <w:pPr>
        <w:pStyle w:val="FirstParagraph"/>
      </w:pPr>
      <w:r>
        <w:rPr>
          <w:rFonts w:hint="eastAsia"/>
        </w:rPr>
        <w:t xml:space="preserve">本契約に定めのない事項又は本契約の解釈につき疑義が生じた事項については、甲乙誠実に協議の上、解決するものとする。</w:t>
      </w:r>
    </w:p>
    <w:p>
      <w:r>
        <w:pict>
          <v:rect style="width:0;height:1.5pt" o:hralign="center" o:hrstd="t" o:hr="t"/>
        </w:pict>
      </w:r>
    </w:p>
    <w:bookmarkEnd w:id="31"/>
    <w:bookmarkEnd w:id="32"/>
    <w:bookmarkStart w:id="33" w:name="締結"/>
    <w:p>
      <w:pPr>
        <w:pStyle w:val="Heading2"/>
      </w:pPr>
      <w:r>
        <w:rPr>
          <w:rFonts w:hint="eastAsia"/>
        </w:rPr>
        <w:t xml:space="preserve">締結</w:t>
      </w:r>
    </w:p>
    <w:p>
      <w:pPr>
        <w:pStyle w:val="FirstParagraph"/>
      </w:pPr>
      <w:r>
        <w:rPr>
          <w:rFonts w:hint="eastAsia"/>
        </w:rPr>
        <w:t xml:space="preserve">本契約締結の証として、本書2通を作成し、甲乙記名押印の上、各自1通を保有する。</w:t>
      </w:r>
      <w:r>
        <w:t xml:space="preserve"> </w:t>
      </w:r>
      <w:r>
        <w:rPr>
          <w:rFonts w:hint="eastAsia"/>
        </w:rPr>
        <w:t xml:space="preserve">(電子契約により締結する場合は、電磁的記録を作成し、甲乙が電子署名を行うものとする。)</w:t>
      </w:r>
    </w:p>
    <w:p>
      <w:pPr>
        <w:pStyle w:val="BodyText"/>
      </w:pPr>
      <w:r>
        <w:rPr>
          <w:rFonts w:hint="eastAsia"/>
        </w:rPr>
        <w:t xml:space="preserve">[YYYY年MM月DD日]</w:t>
      </w:r>
    </w:p>
    <w:p>
      <w:r>
        <w:pict>
          <v:rect style="width:0;height:1.5pt" o:hralign="center" o:hrstd="t" o:hr="t"/>
        </w:pict>
      </w:r>
    </w:p>
    <w:p>
      <w:pPr>
        <w:pStyle w:val="FirstParagraph"/>
      </w:pPr>
      <w:r>
        <w:rPr>
          <w:rFonts w:hint="eastAsia"/>
          <w:b/>
          <w:bCs/>
        </w:rPr>
        <w:t xml:space="preserve">(甲)</w:t>
      </w:r>
      <w:r>
        <w:t xml:space="preserve"> </w:t>
      </w:r>
      <w:r>
        <w:rPr>
          <w:rFonts w:hint="eastAsia"/>
        </w:rPr>
        <w:t xml:space="preserve">委託者</w:t>
      </w:r>
      <w:r>
        <w:t xml:space="preserve"> </w:t>
      </w:r>
      <w:r>
        <w:rPr>
          <w:rFonts w:hint="eastAsia"/>
        </w:rPr>
        <w:t xml:space="preserve">住所:[甲の所在地]</w:t>
      </w:r>
      <w:r>
        <w:t xml:space="preserve"> </w:t>
      </w:r>
      <w:r>
        <w:rPr>
          <w:rFonts w:hint="eastAsia"/>
        </w:rPr>
        <w:t xml:space="preserve">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受託者</w:t>
      </w:r>
      <w:r>
        <w:t xml:space="preserve"> </w:t>
      </w:r>
      <w:r>
        <w:rPr>
          <w:rFonts w:hint="eastAsia"/>
        </w:rPr>
        <w:t xml:space="preserve">住所:[乙の所在地]</w:t>
      </w:r>
      <w:r>
        <w:t xml:space="preserve"> </w:t>
      </w:r>
      <w:r>
        <w:rPr>
          <w:rFonts w:hint="eastAsia"/>
        </w:rPr>
        <w:t xml:space="preserve">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bookmarkEnd w:id="33"/>
    <w:bookmarkStart w:id="34" w:name="別紙仕様書参考"/>
    <w:p>
      <w:pPr>
        <w:pStyle w:val="Heading2"/>
      </w:pPr>
      <w:r>
        <w:rPr>
          <w:rFonts w:hint="eastAsia"/>
        </w:rPr>
        <w:t xml:space="preserve">別紙仕様書(参考)</w:t>
      </w:r>
    </w:p>
    <w:p>
      <w:pPr>
        <w:pStyle w:val="FirstParagraph"/>
      </w:pPr>
      <w:r>
        <w:rPr>
          <w:rFonts w:hint="eastAsia"/>
        </w:rPr>
        <w:t xml:space="preserve">本契約第3条に基づき、本件業務の詳細を以下のとおり定める。</w:t>
      </w:r>
    </w:p>
    <w:p>
      <w:pPr>
        <w:pStyle w:val="Compact"/>
        <w:numPr>
          <w:ilvl w:val="0"/>
          <w:numId w:val="1020"/>
        </w:numPr>
      </w:pPr>
      <w:r>
        <w:rPr>
          <w:rFonts w:hint="eastAsia"/>
          <w:b/>
          <w:bCs/>
        </w:rPr>
        <w:t xml:space="preserve">業務名称</w:t>
      </w:r>
      <w:r>
        <w:rPr>
          <w:rFonts w:hint="eastAsia"/>
        </w:rPr>
        <w:t xml:space="preserve">:[業務名称]</w:t>
      </w:r>
    </w:p>
    <w:p>
      <w:pPr>
        <w:pStyle w:val="Compact"/>
        <w:numPr>
          <w:ilvl w:val="0"/>
          <w:numId w:val="1020"/>
        </w:numPr>
      </w:pPr>
      <w:r>
        <w:rPr>
          <w:rFonts w:hint="eastAsia"/>
          <w:b/>
          <w:bCs/>
        </w:rPr>
        <w:t xml:space="preserve">業務の目的</w:t>
      </w:r>
      <w:r>
        <w:rPr>
          <w:rFonts w:hint="eastAsia"/>
        </w:rPr>
        <w:t xml:space="preserve">:[業務の目的]</w:t>
      </w:r>
    </w:p>
    <w:p>
      <w:pPr>
        <w:pStyle w:val="Compact"/>
        <w:numPr>
          <w:ilvl w:val="0"/>
          <w:numId w:val="1020"/>
        </w:numPr>
      </w:pPr>
      <w:r>
        <w:rPr>
          <w:rFonts w:hint="eastAsia"/>
          <w:b/>
          <w:bCs/>
        </w:rPr>
        <w:t xml:space="preserve">業務内容の詳細</w:t>
      </w:r>
      <w:r>
        <w:t xml:space="preserve">:</w:t>
      </w:r>
    </w:p>
    <w:p>
      <w:pPr>
        <w:pStyle w:val="Compact"/>
        <w:numPr>
          <w:ilvl w:val="1"/>
          <w:numId w:val="1021"/>
        </w:numPr>
      </w:pPr>
      <w:r>
        <w:rPr>
          <w:rFonts w:hint="eastAsia"/>
        </w:rPr>
        <w:t xml:space="preserve">[業務工程・タスクの詳細を記載]</w:t>
      </w:r>
    </w:p>
    <w:p>
      <w:pPr>
        <w:pStyle w:val="Compact"/>
        <w:numPr>
          <w:ilvl w:val="0"/>
          <w:numId w:val="1020"/>
        </w:numPr>
      </w:pPr>
      <w:r>
        <w:rPr>
          <w:rFonts w:hint="eastAsia"/>
          <w:b/>
          <w:bCs/>
        </w:rPr>
        <w:t xml:space="preserve">成果物の仕様</w:t>
      </w:r>
      <w:r>
        <w:t xml:space="preserve">:</w:t>
      </w:r>
    </w:p>
    <w:p>
      <w:pPr>
        <w:pStyle w:val="Compact"/>
        <w:numPr>
          <w:ilvl w:val="1"/>
          <w:numId w:val="1022"/>
        </w:numPr>
      </w:pPr>
      <w:r>
        <w:rPr>
          <w:rFonts w:hint="eastAsia"/>
        </w:rPr>
        <w:t xml:space="preserve">名称:[成果物名]</w:t>
      </w:r>
    </w:p>
    <w:p>
      <w:pPr>
        <w:pStyle w:val="Compact"/>
        <w:numPr>
          <w:ilvl w:val="1"/>
          <w:numId w:val="1022"/>
        </w:numPr>
      </w:pPr>
      <w:r>
        <w:rPr>
          <w:rFonts w:hint="eastAsia"/>
        </w:rPr>
        <w:t xml:space="preserve">形式:[ファイル形式・媒体等]</w:t>
      </w:r>
    </w:p>
    <w:p>
      <w:pPr>
        <w:pStyle w:val="Compact"/>
        <w:numPr>
          <w:ilvl w:val="1"/>
          <w:numId w:val="1022"/>
        </w:numPr>
      </w:pPr>
      <w:r>
        <w:rPr>
          <w:rFonts w:hint="eastAsia"/>
        </w:rPr>
        <w:t xml:space="preserve">数量:[数量]</w:t>
      </w:r>
    </w:p>
    <w:p>
      <w:pPr>
        <w:pStyle w:val="Compact"/>
        <w:numPr>
          <w:ilvl w:val="1"/>
          <w:numId w:val="1022"/>
        </w:numPr>
      </w:pPr>
      <w:r>
        <w:rPr>
          <w:rFonts w:hint="eastAsia"/>
        </w:rPr>
        <w:t xml:space="preserve">品質基準:[満たすべき品質基準・性能等]</w:t>
      </w:r>
    </w:p>
    <w:p>
      <w:pPr>
        <w:pStyle w:val="Compact"/>
        <w:numPr>
          <w:ilvl w:val="0"/>
          <w:numId w:val="1020"/>
        </w:numPr>
      </w:pPr>
      <w:r>
        <w:rPr>
          <w:rFonts w:hint="eastAsia"/>
          <w:b/>
          <w:bCs/>
        </w:rPr>
        <w:t xml:space="preserve">検収基準</w:t>
      </w:r>
      <w:r>
        <w:t xml:space="preserve">:</w:t>
      </w:r>
    </w:p>
    <w:p>
      <w:pPr>
        <w:pStyle w:val="Compact"/>
        <w:numPr>
          <w:ilvl w:val="1"/>
          <w:numId w:val="1023"/>
        </w:numPr>
      </w:pPr>
      <w:r>
        <w:rPr>
          <w:rFonts w:hint="eastAsia"/>
        </w:rPr>
        <w:t xml:space="preserve">[検収時にチェックする項目を具体的に記載]</w:t>
      </w:r>
    </w:p>
    <w:p>
      <w:pPr>
        <w:pStyle w:val="Compact"/>
        <w:numPr>
          <w:ilvl w:val="0"/>
          <w:numId w:val="1020"/>
        </w:numPr>
      </w:pPr>
      <w:r>
        <w:rPr>
          <w:rFonts w:hint="eastAsia"/>
          <w:b/>
          <w:bCs/>
        </w:rPr>
        <w:t xml:space="preserve">マイルストーン(必要に応じて)</w:t>
      </w:r>
      <w:r>
        <w:t xml:space="preserve">:</w:t>
      </w:r>
    </w:p>
    <w:p>
      <w:pPr>
        <w:pStyle w:val="Compact"/>
        <w:numPr>
          <w:ilvl w:val="1"/>
          <w:numId w:val="1024"/>
        </w:numPr>
      </w:pPr>
      <w:r>
        <w:rPr>
          <w:rFonts w:hint="eastAsia"/>
        </w:rPr>
        <w:t xml:space="preserve">YYYY年MM月DD日:[マイルストーン1の内容]</w:t>
      </w:r>
    </w:p>
    <w:p>
      <w:pPr>
        <w:pStyle w:val="Compact"/>
        <w:numPr>
          <w:ilvl w:val="1"/>
          <w:numId w:val="1024"/>
        </w:numPr>
      </w:pPr>
      <w:r>
        <w:rPr>
          <w:rFonts w:hint="eastAsia"/>
        </w:rPr>
        <w:t xml:space="preserve">YYYY年MM月DD日:[マイルストーン2の内容]</w:t>
      </w:r>
    </w:p>
    <w:p>
      <w:pPr>
        <w:pStyle w:val="Compact"/>
        <w:numPr>
          <w:ilvl w:val="0"/>
          <w:numId w:val="1020"/>
        </w:numPr>
      </w:pPr>
      <w:r>
        <w:rPr>
          <w:rFonts w:hint="eastAsia"/>
          <w:b/>
          <w:bCs/>
        </w:rPr>
        <w:t xml:space="preserve">仕様変更時の取扱い</w:t>
      </w:r>
      <w:r>
        <w:t xml:space="preserve">:</w:t>
      </w:r>
    </w:p>
    <w:p>
      <w:pPr>
        <w:pStyle w:val="Compact"/>
        <w:numPr>
          <w:ilvl w:val="1"/>
          <w:numId w:val="1025"/>
        </w:numPr>
      </w:pPr>
      <w:r>
        <w:rPr>
          <w:rFonts w:hint="eastAsia"/>
        </w:rPr>
        <w:t xml:space="preserve">仕様変更が生じる場合は、甲乙書面又は電磁的方法による合意により行う。</w:t>
      </w:r>
    </w:p>
    <w:p>
      <w:r>
        <w:pict>
          <v:rect style="width:0;height:1.5pt" o:hralign="center" o:hrstd="t" o:hr="t"/>
        </w:pict>
      </w:r>
    </w:p>
    <w:bookmarkEnd w:id="34"/>
    <w:bookmarkStart w:id="36" w:name="印紙税について"/>
    <w:p>
      <w:pPr>
        <w:pStyle w:val="Heading2"/>
      </w:pPr>
      <w:r>
        <w:rPr>
          <w:rFonts w:hint="eastAsia"/>
        </w:rPr>
        <w:t xml:space="preserve">印紙税について</w:t>
      </w:r>
    </w:p>
    <w:p>
      <w:pPr>
        <w:pStyle w:val="FirstParagraph"/>
      </w:pPr>
      <w:r>
        <w:rPr>
          <w:rFonts w:hint="eastAsia"/>
        </w:rPr>
        <w:t xml:space="preserve">本契約書(請負契約書)は、印紙税法上の</w:t>
      </w:r>
      <w:r>
        <w:rPr>
          <w:rFonts w:hint="eastAsia"/>
          <w:b/>
          <w:bCs/>
        </w:rPr>
        <w:t xml:space="preserve">第2号文書(請負に関する契約書)</w:t>
      </w:r>
      <w:r>
        <w:rPr>
          <w:rFonts w:hint="eastAsia"/>
        </w:rPr>
        <w:t xml:space="preserve">又は</w:t>
      </w:r>
      <w:r>
        <w:rPr>
          <w:rFonts w:hint="eastAsia"/>
          <w:b/>
          <w:bCs/>
        </w:rPr>
        <w:t xml:space="preserve">第7号文書(継続的取引の基本となる契約書)</w:t>
      </w:r>
      <w:r>
        <w:rPr>
          <w:rFonts w:hint="eastAsia"/>
        </w:rPr>
        <w:t xml:space="preserve">に該当し、契約金額に応じて以下の印紙税が課されます(2026年5月時点の本則税額の例)。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契約金額</w:t>
            </w:r>
          </w:p>
        </w:tc>
        <w:tc>
          <w:tcPr/>
          <w:p>
            <w:pPr>
              <w:pStyle w:val="Compact"/>
            </w:pPr>
            <w:r>
              <w:rPr>
                <w:rFonts w:hint="eastAsia"/>
              </w:rPr>
              <w:t xml:space="preserve">印紙税額(第2号文書</w:t>
            </w:r>
            <w:r>
              <w:t xml:space="preserve"> </w:t>
            </w:r>
            <w:r>
              <w:rPr>
                <w:rFonts w:hint="eastAsia"/>
              </w:rPr>
              <w:t xml:space="preserve">本則)</w:t>
            </w:r>
          </w:p>
        </w:tc>
      </w:tr>
      <w:tr>
        <w:tc>
          <w:tcPr/>
          <w:p>
            <w:pPr>
              <w:pStyle w:val="Compact"/>
            </w:pPr>
            <w:r>
              <w:rPr>
                <w:rFonts w:hint="eastAsia"/>
              </w:rPr>
              <w:t xml:space="preserve">1万円未満</w:t>
            </w:r>
          </w:p>
        </w:tc>
        <w:tc>
          <w:tcPr/>
          <w:p>
            <w:pPr>
              <w:pStyle w:val="Compact"/>
            </w:pPr>
            <w:r>
              <w:rPr>
                <w:rFonts w:hint="eastAsia"/>
              </w:rPr>
              <w:t xml:space="preserve">非課税</w:t>
            </w:r>
          </w:p>
        </w:tc>
      </w:tr>
      <w:tr>
        <w:tc>
          <w:tcPr/>
          <w:p>
            <w:pPr>
              <w:pStyle w:val="Compact"/>
            </w:pPr>
            <w:r>
              <w:rPr>
                <w:rFonts w:hint="eastAsia"/>
              </w:rPr>
              <w:t xml:space="preserve">100万円超〜200万円以下</w:t>
            </w:r>
          </w:p>
        </w:tc>
        <w:tc>
          <w:tcPr/>
          <w:p>
            <w:pPr>
              <w:pStyle w:val="Compact"/>
            </w:pPr>
            <w:r>
              <w:rPr>
                <w:rFonts w:hint="eastAsia"/>
              </w:rPr>
              <w:t xml:space="preserve">400円</w:t>
            </w:r>
          </w:p>
        </w:tc>
      </w:tr>
      <w:tr>
        <w:tc>
          <w:tcPr/>
          <w:p>
            <w:pPr>
              <w:pStyle w:val="Compact"/>
            </w:pPr>
            <w:r>
              <w:rPr>
                <w:rFonts w:hint="eastAsia"/>
              </w:rPr>
              <w:t xml:space="preserve">500万円超〜1,000万円以下</w:t>
            </w:r>
          </w:p>
        </w:tc>
        <w:tc>
          <w:tcPr/>
          <w:p>
            <w:pPr>
              <w:pStyle w:val="Compact"/>
            </w:pPr>
            <w:r>
              <w:rPr>
                <w:rFonts w:hint="eastAsia"/>
              </w:rPr>
              <w:t xml:space="preserve">1万円</w:t>
            </w:r>
          </w:p>
        </w:tc>
      </w:tr>
      <w:tr>
        <w:tc>
          <w:tcPr/>
          <w:p>
            <w:pPr>
              <w:pStyle w:val="Compact"/>
            </w:pPr>
            <w:r>
              <w:rPr>
                <w:rFonts w:hint="eastAsia"/>
              </w:rPr>
              <w:t xml:space="preserve">1,000万円超〜5,000万円以下</w:t>
            </w:r>
          </w:p>
        </w:tc>
        <w:tc>
          <w:tcPr/>
          <w:p>
            <w:pPr>
              <w:pStyle w:val="Compact"/>
            </w:pPr>
            <w:r>
              <w:rPr>
                <w:rFonts w:hint="eastAsia"/>
              </w:rPr>
              <w:t xml:space="preserve">2万円</w:t>
            </w:r>
          </w:p>
        </w:tc>
      </w:tr>
      <w:tr>
        <w:tc>
          <w:tcPr/>
          <w:p>
            <w:pPr>
              <w:pStyle w:val="Compact"/>
            </w:pPr>
            <w:r>
              <w:rPr>
                <w:rFonts w:hint="eastAsia"/>
              </w:rPr>
              <w:t xml:space="preserve">5,000万円超〜1億円以下</w:t>
            </w:r>
          </w:p>
        </w:tc>
        <w:tc>
          <w:tcPr/>
          <w:p>
            <w:pPr>
              <w:pStyle w:val="Compact"/>
            </w:pPr>
            <w:r>
              <w:rPr>
                <w:rFonts w:hint="eastAsia"/>
              </w:rPr>
              <w:t xml:space="preserve">6万円</w:t>
            </w:r>
          </w:p>
        </w:tc>
      </w:tr>
      <w:tr>
        <w:tc>
          <w:tcPr/>
          <w:p>
            <w:pPr>
              <w:pStyle w:val="Compact"/>
            </w:pPr>
            <w:r>
              <w:rPr>
                <w:rFonts w:hint="eastAsia"/>
              </w:rPr>
              <w:t xml:space="preserve">1億円超〜5億円以下</w:t>
            </w:r>
          </w:p>
        </w:tc>
        <w:tc>
          <w:tcPr/>
          <w:p>
            <w:pPr>
              <w:pStyle w:val="Compact"/>
            </w:pPr>
            <w:r>
              <w:rPr>
                <w:rFonts w:hint="eastAsia"/>
              </w:rPr>
              <w:t xml:space="preserve">10万円</w:t>
            </w:r>
          </w:p>
        </w:tc>
      </w:tr>
      <w:tr>
        <w:tc>
          <w:tcPr/>
          <w:p>
            <w:pPr>
              <w:pStyle w:val="Compact"/>
            </w:pPr>
            <w:r>
              <w:rPr>
                <w:rFonts w:hint="eastAsia"/>
              </w:rPr>
              <w:t xml:space="preserve">5億円超〜10億円以下</w:t>
            </w:r>
          </w:p>
        </w:tc>
        <w:tc>
          <w:tcPr/>
          <w:p>
            <w:pPr>
              <w:pStyle w:val="Compact"/>
            </w:pPr>
            <w:r>
              <w:rPr>
                <w:rFonts w:hint="eastAsia"/>
              </w:rPr>
              <w:t xml:space="preserve">20万円</w:t>
            </w:r>
          </w:p>
        </w:tc>
      </w:tr>
    </w:tbl>
    <w:p>
      <w:pPr>
        <w:pStyle w:val="BodyText"/>
      </w:pPr>
      <w:r>
        <w:rPr>
          <w:rFonts w:hint="eastAsia"/>
        </w:rPr>
        <w:t xml:space="preserve">※建設工事の請負に関しては時限的な軽減措置が適用される場合があります。</w:t>
      </w:r>
      <w:r>
        <w:t xml:space="preserve"> </w:t>
      </w:r>
      <w:r>
        <w:rPr>
          <w:rFonts w:hint="eastAsia"/>
        </w:rPr>
        <w:t xml:space="preserve">※継続的取引の基本契約書(第7号文書)に該当する場合は、契約金額にかかわらず一律4,000円となります。</w:t>
      </w:r>
      <w:r>
        <w:t xml:space="preserve"> </w:t>
      </w:r>
      <w:r>
        <w:rPr>
          <w:rFonts w:hint="eastAsia"/>
        </w:rPr>
        <w:t xml:space="preserve">※最新税額は国税庁のホームページで必ずご確認ください。</w:t>
      </w:r>
    </w:p>
    <w:bookmarkStart w:id="35" w:name="電子契約なら印紙税ゼロ"/>
    <w:p>
      <w:pPr>
        <w:pStyle w:val="Heading3"/>
      </w:pPr>
      <w:r>
        <w:rPr>
          <w:rFonts w:hint="eastAsia"/>
        </w:rPr>
        <w:t xml:space="preserve">電子契約なら印紙税ゼロ</w:t>
      </w:r>
    </w:p>
    <w:p>
      <w:pPr>
        <w:pStyle w:val="FirstParagraph"/>
      </w:pPr>
      <w:r>
        <w:rPr>
          <w:rFonts w:hint="eastAsia"/>
        </w:rPr>
        <w:t xml:space="preserve">本契約書を</w:t>
      </w:r>
      <w:r>
        <w:rPr>
          <w:rFonts w:hint="eastAsia"/>
          <w:b/>
          <w:bCs/>
        </w:rPr>
        <w:t xml:space="preserve">電子契約(電磁的記録)で締結する場合、印紙税はかかりません</w:t>
      </w:r>
      <w:r>
        <w:rPr>
          <w:rFonts w:hint="eastAsia"/>
        </w:rPr>
        <w:t xml:space="preserve">。これは「印紙税法上の課税対象は紙の文書のみ」と国税庁が見解を示しているためです。</w:t>
      </w:r>
    </w:p>
    <w:p>
      <w:pPr>
        <w:pStyle w:val="BodyText"/>
      </w:pPr>
      <w:r>
        <w:rPr>
          <w:rFonts w:hint="eastAsia"/>
        </w:rPr>
        <w:t xml:space="preserve">請負契約は金額の大きい契約が多いため、電子契約の活用により</w:t>
      </w:r>
      <w:r>
        <w:rPr>
          <w:rFonts w:hint="eastAsia"/>
          <w:b/>
          <w:bCs/>
        </w:rPr>
        <w:t xml:space="preserve">1件あたり数千円〜数十万円の節税効果</w:t>
      </w:r>
      <w:r>
        <w:rPr>
          <w:rFonts w:hint="eastAsia"/>
        </w:rPr>
        <w:t xml:space="preserve">が生まれます。</w:t>
      </w:r>
    </w:p>
    <w:p>
      <w:r>
        <w:pict>
          <v:rect style="width:0;height:1.5pt" o:hralign="center" o:hrstd="t" o:hr="t"/>
        </w:pict>
      </w:r>
    </w:p>
    <w:bookmarkEnd w:id="35"/>
    <w:bookmarkEnd w:id="36"/>
    <w:bookmarkStart w:id="37" w:name="本テンプレート利用上の注意"/>
    <w:p>
      <w:pPr>
        <w:pStyle w:val="Heading2"/>
      </w:pPr>
      <w:r>
        <w:rPr>
          <w:rFonts w:hint="eastAsia"/>
        </w:rPr>
        <w:t xml:space="preserve">本テンプレート利用上の注意</w:t>
      </w:r>
    </w:p>
    <w:p>
      <w:pPr>
        <w:pStyle w:val="Compact"/>
        <w:numPr>
          <w:ilvl w:val="0"/>
          <w:numId w:val="1026"/>
        </w:numPr>
      </w:pPr>
      <w:r>
        <w:rPr>
          <w:rFonts w:hint="eastAsia"/>
        </w:rPr>
        <w:t xml:space="preserve">本テンプレートは標準的な請負契約の雛形であり、すべての業種・案件に最適化されているわけではありません。</w:t>
      </w:r>
    </w:p>
    <w:p>
      <w:pPr>
        <w:pStyle w:val="Compact"/>
        <w:numPr>
          <w:ilvl w:val="0"/>
          <w:numId w:val="1026"/>
        </w:numPr>
      </w:pPr>
      <w:r>
        <w:rPr>
          <w:rFonts w:hint="eastAsia"/>
        </w:rPr>
        <w:t xml:space="preserve">建設工事の請負契約では、建設業法第19条に基づく14項目以上の必須記載事項を満たす必要があります。建設工事の場合は、建設業法対応の専用条項を別途追加してください。</w:t>
      </w:r>
    </w:p>
    <w:p>
      <w:pPr>
        <w:pStyle w:val="Compact"/>
        <w:numPr>
          <w:ilvl w:val="0"/>
          <w:numId w:val="1026"/>
        </w:numPr>
      </w:pPr>
      <w:r>
        <w:rPr>
          <w:rFonts w:hint="eastAsia"/>
        </w:rPr>
        <w:t xml:space="preserve">システム開発・制作物では、本テンプレートをベースに、仕様変更管理・修正回数・著作権の二次利用範囲等の業種特有条項を追加することを推奨します。</w:t>
      </w:r>
    </w:p>
    <w:p>
      <w:pPr>
        <w:pStyle w:val="Compact"/>
        <w:numPr>
          <w:ilvl w:val="0"/>
          <w:numId w:val="1026"/>
        </w:numPr>
      </w:pPr>
      <w:r>
        <w:rPr>
          <w:rFonts w:hint="eastAsia"/>
        </w:rPr>
        <w:t xml:space="preserve">フリーランス新法(2024年11月施行)の特定業務委託事業者・特定受託事業者に該当する取引では、追加の明示事項・支払期日制限等の遵守が必要です。</w:t>
      </w:r>
    </w:p>
    <w:p>
      <w:pPr>
        <w:pStyle w:val="Compact"/>
        <w:numPr>
          <w:ilvl w:val="0"/>
          <w:numId w:val="1026"/>
        </w:numPr>
      </w:pPr>
      <w:r>
        <w:rPr>
          <w:rFonts w:hint="eastAsia"/>
        </w:rPr>
        <w:t xml:space="preserve">下請法対象取引では、3条書面・5条書類の保管義務、支払期日制限等を別途遵守してください。</w:t>
      </w:r>
    </w:p>
    <w:p>
      <w:pPr>
        <w:pStyle w:val="Compact"/>
        <w:numPr>
          <w:ilvl w:val="0"/>
          <w:numId w:val="1026"/>
        </w:numPr>
      </w:pPr>
      <w:r>
        <w:rPr>
          <w:rFonts w:hint="eastAsia"/>
        </w:rPr>
        <w:t xml:space="preserve">契約金額の上限賠償条項は交渉次第で削除・変更が必要となります。重要案件では弁護士にご相談ください。</w:t>
      </w:r>
    </w:p>
    <w:p>
      <w:pPr>
        <w:pStyle w:val="Compact"/>
        <w:numPr>
          <w:ilvl w:val="0"/>
          <w:numId w:val="1026"/>
        </w:numPr>
      </w:pPr>
      <w:r>
        <w:rPr>
          <w:rFonts w:hint="eastAsia"/>
        </w:rPr>
        <w:t xml:space="preserve">本テンプレートは汎用的な内容ですので、個別案件のリスクに応じた条項追加・修正を必ず行ってください。</w:t>
      </w:r>
    </w:p>
    <w:p>
      <w:r>
        <w:pict>
          <v:rect style="width:0;height:1.5pt" o:hralign="center" o:hrstd="t" o:hr="t"/>
        </w:pic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民法、建設業法、印紙税法、フリーランス新法、下請法、著作権法その他関連法令に基づき、弁護士監修のもと作成しています。最新の法令解釈・印紙税率は、国税庁・国土交通省・公正取引委員会等の情報を参照してください。</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 w:numId="1025">
    <w:abstractNumId w:val="991"/>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057;&#12301;&#12392;&#12356;&#12358;&#12290;" TargetMode="External" /><Relationship Type="http://schemas.openxmlformats.org/officeDocument/2006/relationships/hyperlink" Id="rId9" Target="&#20197;&#19979;&#12300;&#30002;&#12301;&#12392;&#12356;&#12358;&#1229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2026-06-16T00:52:11Z</dcterms:created>
  <dcterms:modified xsi:type="dcterms:W3CDTF">2026-06-16T00:52:11Z</dcterms:modified>
</cp:coreProperties>
</file>

<file path=docProps/custom.xml><?xml version="1.0" encoding="utf-8"?>
<Properties xmlns="http://schemas.openxmlformats.org/officeDocument/2006/custom-properties" xmlns:vt="http://schemas.openxmlformats.org/officeDocument/2006/docPropsVTypes"/>
</file>